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F7E85" w14:textId="5FD7F035" w:rsidR="00E90E49" w:rsidRPr="003A2B6B" w:rsidRDefault="00E90E49" w:rsidP="00E35559">
      <w:pPr>
        <w:pStyle w:val="3GPPHeader"/>
        <w:spacing w:after="60"/>
        <w:rPr>
          <w:sz w:val="32"/>
          <w:szCs w:val="32"/>
        </w:rPr>
      </w:pPr>
      <w:r w:rsidRPr="006B4E23">
        <w:t>3GPP TSG-RAN WG</w:t>
      </w:r>
      <w:r w:rsidR="00F20F5C" w:rsidRPr="006B4E23">
        <w:t>2</w:t>
      </w:r>
      <w:r w:rsidRPr="006B4E23">
        <w:t xml:space="preserve"> #</w:t>
      </w:r>
      <w:r w:rsidR="00F20F5C" w:rsidRPr="006B4E23">
        <w:t>1</w:t>
      </w:r>
      <w:r w:rsidR="00C268E6" w:rsidRPr="006B4E23">
        <w:t>1</w:t>
      </w:r>
      <w:r w:rsidR="00610BA5">
        <w:t>5</w:t>
      </w:r>
      <w:r w:rsidR="005640C9" w:rsidRPr="006B4E23">
        <w:t>-</w:t>
      </w:r>
      <w:r w:rsidR="00F20F5C" w:rsidRPr="006B4E23">
        <w:t>e</w:t>
      </w:r>
      <w:r w:rsidRPr="006B4E23">
        <w:tab/>
      </w:r>
      <w:r w:rsidR="003A2B6B" w:rsidRPr="00B72BBD">
        <w:rPr>
          <w:sz w:val="32"/>
          <w:szCs w:val="32"/>
        </w:rPr>
        <w:t>R2-</w:t>
      </w:r>
      <w:r w:rsidR="00B72BBD" w:rsidRPr="00B72BBD">
        <w:t xml:space="preserve"> </w:t>
      </w:r>
      <w:r w:rsidR="00B72BBD" w:rsidRPr="00B72BBD">
        <w:rPr>
          <w:sz w:val="32"/>
          <w:szCs w:val="32"/>
        </w:rPr>
        <w:t>2108085</w:t>
      </w:r>
    </w:p>
    <w:p w14:paraId="752598DE" w14:textId="23E71FD7" w:rsidR="00E90E49" w:rsidRPr="003A2B6B" w:rsidRDefault="00C268E6" w:rsidP="00311702">
      <w:pPr>
        <w:pStyle w:val="3GPPHeader"/>
      </w:pPr>
      <w:r w:rsidRPr="003A2B6B">
        <w:t>Electronic meeting</w:t>
      </w:r>
      <w:r w:rsidRPr="00522AC2">
        <w:t xml:space="preserve">, </w:t>
      </w:r>
      <w:r w:rsidR="00D63BBC" w:rsidRPr="00757B80">
        <w:t>2021-0</w:t>
      </w:r>
      <w:r w:rsidR="00522AC2" w:rsidRPr="00757B80">
        <w:t>8</w:t>
      </w:r>
      <w:r w:rsidR="00D63BBC" w:rsidRPr="00757B80">
        <w:t>-</w:t>
      </w:r>
      <w:r w:rsidR="00522AC2" w:rsidRPr="00757B80">
        <w:t>16</w:t>
      </w:r>
      <w:r w:rsidR="00D63BBC" w:rsidRPr="00757B80">
        <w:t xml:space="preserve"> - 2021-0</w:t>
      </w:r>
      <w:r w:rsidR="00522AC2" w:rsidRPr="00757B80">
        <w:t>8</w:t>
      </w:r>
      <w:r w:rsidR="00D63BBC" w:rsidRPr="00757B80">
        <w:t>-27</w:t>
      </w:r>
      <w:r w:rsidR="009E7E95">
        <w:tab/>
      </w:r>
      <w:r w:rsidR="009E7E95" w:rsidRPr="002370A6">
        <w:t>Re</w:t>
      </w:r>
      <w:r w:rsidR="004E1784" w:rsidRPr="002370A6">
        <w:t>vision</w:t>
      </w:r>
      <w:r w:rsidR="009E7E95" w:rsidRPr="002370A6">
        <w:t xml:space="preserve"> of R2-210</w:t>
      </w:r>
      <w:r w:rsidR="002370A6" w:rsidRPr="002370A6">
        <w:t>5758</w:t>
      </w:r>
    </w:p>
    <w:p w14:paraId="3E6673B6" w14:textId="77777777" w:rsidR="00E90E49" w:rsidRPr="003A2B6B" w:rsidRDefault="00E90E49" w:rsidP="00357380">
      <w:pPr>
        <w:pStyle w:val="3GPPHeader"/>
      </w:pPr>
    </w:p>
    <w:p w14:paraId="7B71D8B7" w14:textId="4D7AD223"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8.6.4</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2BC9E310"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7636C1" w:rsidRPr="003A2B6B">
        <w:rPr>
          <w:sz w:val="22"/>
          <w:szCs w:val="22"/>
        </w:rPr>
        <w:t>RACH based small data transmission</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21FE979C" w14:textId="77777777" w:rsidR="00E90E49" w:rsidRPr="003A2B6B" w:rsidRDefault="00E90E49" w:rsidP="00E90E49"/>
    <w:p w14:paraId="3F0B0999" w14:textId="77777777" w:rsidR="00E90E49" w:rsidRPr="003A2B6B" w:rsidRDefault="00230D18" w:rsidP="00CE0424">
      <w:pPr>
        <w:pStyle w:val="Heading1"/>
      </w:pPr>
      <w:r w:rsidRPr="003A2B6B">
        <w:t>1</w:t>
      </w:r>
      <w:r w:rsidRPr="003A2B6B">
        <w:tab/>
      </w:r>
      <w:r w:rsidR="00E90E49" w:rsidRPr="003A2B6B">
        <w:t>Introduction</w:t>
      </w:r>
    </w:p>
    <w:p w14:paraId="52025973" w14:textId="77EB6DC7" w:rsidR="007636C1" w:rsidRPr="003A2B6B" w:rsidRDefault="007636C1" w:rsidP="007636C1">
      <w:pPr>
        <w:pStyle w:val="BodyText"/>
        <w:rPr>
          <w:b/>
          <w:bCs/>
          <w:u w:val="single"/>
        </w:rPr>
      </w:pPr>
      <w:r w:rsidRPr="003A2B6B">
        <w:t xml:space="preserve">The relevant agreements </w:t>
      </w:r>
      <w:r w:rsidR="00B624A6" w:rsidRPr="003A2B6B">
        <w:t xml:space="preserve">discussed in this contribution </w:t>
      </w:r>
      <w:r w:rsidRPr="003A2B6B">
        <w:t xml:space="preserve">are reported below </w:t>
      </w:r>
      <w:r w:rsidRPr="003A2B6B">
        <w:fldChar w:fldCharType="begin"/>
      </w:r>
      <w:r w:rsidRPr="003A2B6B">
        <w:instrText xml:space="preserve"> REF _Ref61511911 \r \h </w:instrText>
      </w:r>
      <w:r w:rsidR="003A2B6B">
        <w:instrText xml:space="preserve"> \* MERGEFORMAT </w:instrText>
      </w:r>
      <w:r w:rsidRPr="003A2B6B">
        <w:fldChar w:fldCharType="separate"/>
      </w:r>
      <w:r w:rsidR="00DF1C84">
        <w:t>[1]</w:t>
      </w:r>
      <w:r w:rsidRPr="003A2B6B">
        <w:fldChar w:fldCharType="end"/>
      </w:r>
      <w:r w:rsidR="00B624A6" w:rsidRPr="003A2B6B">
        <w:fldChar w:fldCharType="begin"/>
      </w:r>
      <w:r w:rsidR="00B624A6" w:rsidRPr="003A2B6B">
        <w:instrText xml:space="preserve"> REF _Ref67063039 \r \h </w:instrText>
      </w:r>
      <w:r w:rsidR="003A2B6B">
        <w:instrText xml:space="preserve"> \* MERGEFORMAT </w:instrText>
      </w:r>
      <w:r w:rsidR="00B624A6" w:rsidRPr="003A2B6B">
        <w:fldChar w:fldCharType="separate"/>
      </w:r>
      <w:r w:rsidR="00DF1C84">
        <w:t>[2]</w:t>
      </w:r>
      <w:r w:rsidR="00B624A6" w:rsidRPr="003A2B6B">
        <w:fldChar w:fldCharType="end"/>
      </w:r>
      <w:r w:rsidR="0011651B">
        <w:fldChar w:fldCharType="begin"/>
      </w:r>
      <w:r w:rsidR="0011651B">
        <w:instrText xml:space="preserve"> REF _Ref75161746 \r \h </w:instrText>
      </w:r>
      <w:r w:rsidR="0011651B">
        <w:fldChar w:fldCharType="separate"/>
      </w:r>
      <w:r w:rsidR="00DF1C84">
        <w:t>[3]</w:t>
      </w:r>
      <w:r w:rsidR="0011651B">
        <w:fldChar w:fldCharType="end"/>
      </w:r>
      <w:r w:rsidRPr="003A2B6B">
        <w:t>:</w:t>
      </w:r>
    </w:p>
    <w:p w14:paraId="3F2E7EC6" w14:textId="245307AD" w:rsidR="007636C1" w:rsidRPr="003A2B6B" w:rsidRDefault="007636C1" w:rsidP="007636C1">
      <w:pPr>
        <w:pStyle w:val="Doc-text2"/>
        <w:ind w:left="363"/>
        <w:rPr>
          <w:b/>
          <w:bCs/>
          <w:u w:val="single"/>
          <w:lang w:eastAsia="en-US"/>
        </w:rPr>
      </w:pPr>
      <w:r w:rsidRPr="003A2B6B">
        <w:rPr>
          <w:b/>
          <w:bCs/>
          <w:u w:val="single"/>
        </w:rPr>
        <w:t>Agreements</w:t>
      </w:r>
    </w:p>
    <w:p w14:paraId="6874F7E5" w14:textId="17F288EF" w:rsidR="00B624A6" w:rsidRPr="003A2B6B" w:rsidRDefault="00B624A6" w:rsidP="007636C1">
      <w:pPr>
        <w:pStyle w:val="Doc-text2"/>
        <w:ind w:left="363"/>
      </w:pPr>
    </w:p>
    <w:p w14:paraId="6084A09D" w14:textId="13D7B80A" w:rsidR="00DA35C6" w:rsidRDefault="00B624A6" w:rsidP="000978F2">
      <w:pPr>
        <w:pStyle w:val="Doc-text2"/>
        <w:numPr>
          <w:ilvl w:val="0"/>
          <w:numId w:val="27"/>
        </w:numPr>
        <w:ind w:left="363"/>
        <w:rPr>
          <w:lang w:eastAsia="en-US"/>
        </w:rPr>
      </w:pPr>
      <w:r w:rsidRPr="003A2B6B">
        <w:rPr>
          <w:rFonts w:hint="eastAsia"/>
        </w:rPr>
        <w:t>For RACH based solutions, upon successful completion of contention resolution, the UE shall monitor the C-RNTI</w:t>
      </w:r>
    </w:p>
    <w:p w14:paraId="55BC1406" w14:textId="035E2F3A" w:rsidR="00D50D44" w:rsidRDefault="00D50D44" w:rsidP="000978F2">
      <w:pPr>
        <w:pStyle w:val="Doc-text2"/>
        <w:numPr>
          <w:ilvl w:val="0"/>
          <w:numId w:val="27"/>
        </w:numPr>
        <w:ind w:left="363"/>
        <w:rPr>
          <w:lang w:eastAsia="en-US"/>
        </w:rPr>
      </w:pPr>
      <w:r>
        <w:rPr>
          <w:rFonts w:hint="eastAsia"/>
        </w:rPr>
        <w:t>The separate search space is common to the UEs performing RA-SDT. Inform RAN1 of this agreement</w:t>
      </w:r>
    </w:p>
    <w:p w14:paraId="4F466A35" w14:textId="2914EA8F" w:rsidR="00D50D44" w:rsidRDefault="00D50D44" w:rsidP="000978F2">
      <w:pPr>
        <w:pStyle w:val="Doc-text2"/>
        <w:numPr>
          <w:ilvl w:val="0"/>
          <w:numId w:val="27"/>
        </w:numPr>
        <w:ind w:left="363"/>
        <w:rPr>
          <w:lang w:eastAsia="en-US"/>
        </w:rPr>
      </w:pPr>
      <w:r w:rsidRPr="00D50D44">
        <w:rPr>
          <w:lang w:eastAsia="en-US"/>
        </w:rPr>
        <w:t>The UE needs to monitor paging after UE initiates SDT for system information change, PWS.  FFS for other cases</w:t>
      </w:r>
    </w:p>
    <w:p w14:paraId="476516D2" w14:textId="4E1E8B9D" w:rsidR="00DA35C6" w:rsidRDefault="00DA35C6" w:rsidP="00DA35C6">
      <w:pPr>
        <w:pStyle w:val="Doc-text2"/>
        <w:numPr>
          <w:ilvl w:val="0"/>
          <w:numId w:val="27"/>
        </w:numPr>
        <w:ind w:left="363"/>
        <w:rPr>
          <w:lang w:eastAsia="en-US"/>
        </w:rPr>
      </w:pPr>
      <w:r>
        <w:t>As a baseline, the RACH resource i.e. (</w:t>
      </w:r>
      <w:proofErr w:type="spellStart"/>
      <w:r>
        <w:t>RO+preamble</w:t>
      </w:r>
      <w:proofErr w:type="spellEnd"/>
      <w:r>
        <w:t xml:space="preserve"> combination) is different between SDT and non-SDT </w:t>
      </w:r>
    </w:p>
    <w:p w14:paraId="30064114" w14:textId="1AF1C025" w:rsidR="00DA35C6" w:rsidRDefault="00DA35C6" w:rsidP="00DA35C6">
      <w:pPr>
        <w:pStyle w:val="Doc-text2"/>
        <w:ind w:left="363" w:firstLine="0"/>
        <w:rPr>
          <w:lang w:eastAsia="en-US"/>
        </w:rPr>
      </w:pPr>
      <w:r>
        <w:t>-</w:t>
      </w:r>
      <w:r w:rsidRPr="00DA35C6">
        <w:rPr>
          <w:lang w:val="sv-SE"/>
        </w:rPr>
        <w:t xml:space="preserve"> </w:t>
      </w:r>
      <w:r>
        <w:t>If ROs for SDT and non SDT are different, preamble partitioning between SDT and non SDT is not needed.</w:t>
      </w:r>
    </w:p>
    <w:p w14:paraId="332AB096" w14:textId="77777777" w:rsidR="00DA35C6" w:rsidRDefault="00DA35C6" w:rsidP="00DA35C6">
      <w:pPr>
        <w:pStyle w:val="Doc-text2"/>
        <w:ind w:left="363" w:firstLine="0"/>
      </w:pPr>
      <w:r>
        <w:rPr>
          <w:rFonts w:hint="eastAsia"/>
        </w:rPr>
        <w:t>-</w:t>
      </w:r>
      <w:r>
        <w:rPr>
          <w:lang w:val="sv-SE"/>
        </w:rPr>
        <w:t xml:space="preserve"> </w:t>
      </w:r>
      <w:r>
        <w:rPr>
          <w:rFonts w:hint="eastAsia"/>
        </w:rPr>
        <w:t>If ROs for SDT and non SDT are same, preamble partitioning is needed</w:t>
      </w:r>
    </w:p>
    <w:p w14:paraId="46BD26ED" w14:textId="0FC929F0" w:rsidR="00DA35C6" w:rsidRPr="00DA35C6" w:rsidRDefault="00DA35C6" w:rsidP="00DA35C6">
      <w:pPr>
        <w:pStyle w:val="Doc-text2"/>
        <w:numPr>
          <w:ilvl w:val="0"/>
          <w:numId w:val="31"/>
        </w:numPr>
      </w:pPr>
      <w:r>
        <w:rPr>
          <w:rFonts w:cs="Arial"/>
        </w:rPr>
        <w:t>For RA-SDT, up to two preamble groups (corresponding to two different payload sizes for MSGA/MSG3) may be configured by the network</w:t>
      </w:r>
    </w:p>
    <w:p w14:paraId="335A9762" w14:textId="22773F73" w:rsidR="00DA35C6" w:rsidRPr="00D50D44" w:rsidRDefault="00DA35C6" w:rsidP="00DA35C6">
      <w:pPr>
        <w:pStyle w:val="Doc-text2"/>
        <w:numPr>
          <w:ilvl w:val="0"/>
          <w:numId w:val="31"/>
        </w:numPr>
      </w:pPr>
      <w:r>
        <w:rPr>
          <w:rFonts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53C9EDE7" w14:textId="460B5996" w:rsidR="00D50D44" w:rsidRPr="003A2B6B" w:rsidRDefault="00D50D44" w:rsidP="00DA35C6">
      <w:pPr>
        <w:pStyle w:val="Doc-text2"/>
        <w:numPr>
          <w:ilvl w:val="0"/>
          <w:numId w:val="31"/>
        </w:numPr>
      </w:pPr>
      <w:r>
        <w:rPr>
          <w:rFonts w:hint="eastAsia"/>
        </w:rPr>
        <w:t>CG-SDT resource can be configured on either initial BWP or separate SDT BWP.  Ask RAN1 to confirm</w:t>
      </w:r>
    </w:p>
    <w:p w14:paraId="226B631E" w14:textId="77777777" w:rsidR="004000E8" w:rsidRPr="003A2B6B" w:rsidRDefault="00230D18" w:rsidP="00CE0424">
      <w:pPr>
        <w:pStyle w:val="Heading1"/>
      </w:pPr>
      <w:bookmarkStart w:id="0" w:name="_Ref178064866"/>
      <w:r w:rsidRPr="003A2B6B">
        <w:t>2</w:t>
      </w:r>
      <w:r w:rsidRPr="003A2B6B">
        <w:tab/>
      </w:r>
      <w:r w:rsidR="004000E8" w:rsidRPr="003A2B6B">
        <w:t>Discussion</w:t>
      </w:r>
      <w:bookmarkEnd w:id="0"/>
    </w:p>
    <w:p w14:paraId="35CD01FB" w14:textId="1DEC5F8A" w:rsidR="00BD0FBA" w:rsidRPr="003A2B6B" w:rsidRDefault="00756B25" w:rsidP="008222CD">
      <w:pPr>
        <w:pStyle w:val="Heading2"/>
      </w:pPr>
      <w:r w:rsidRPr="003A2B6B">
        <w:t>2.</w:t>
      </w:r>
      <w:r w:rsidR="00B07CAD" w:rsidRPr="003A2B6B">
        <w:t>1</w:t>
      </w:r>
      <w:r w:rsidRPr="003A2B6B">
        <w:tab/>
      </w:r>
      <w:r w:rsidR="008222CD">
        <w:t xml:space="preserve">CSS </w:t>
      </w:r>
      <w:r w:rsidR="00476E19" w:rsidRPr="003A2B6B">
        <w:t>monitoring</w:t>
      </w:r>
    </w:p>
    <w:p w14:paraId="2858877E" w14:textId="77777777" w:rsidR="005839A0" w:rsidRDefault="005839A0" w:rsidP="003A2B6B">
      <w:pPr>
        <w:pStyle w:val="BodyText"/>
      </w:pPr>
      <w:r>
        <w:t>In the last RAN2 meeting it was agreed that a UE performing RA-SDT should monitor a new separate CSS for C-RNTI</w:t>
      </w:r>
      <w:bookmarkStart w:id="1" w:name="_Toc68095569"/>
      <w:bookmarkStart w:id="2" w:name="_Toc68095616"/>
      <w:bookmarkStart w:id="3" w:name="_Toc68099658"/>
      <w:bookmarkEnd w:id="1"/>
      <w:bookmarkEnd w:id="2"/>
      <w:bookmarkEnd w:id="3"/>
    </w:p>
    <w:p w14:paraId="1069EAC1" w14:textId="31580B70" w:rsidR="005839A0" w:rsidRDefault="005839A0" w:rsidP="005839A0">
      <w:pPr>
        <w:pStyle w:val="Observation"/>
      </w:pPr>
      <w:bookmarkStart w:id="4" w:name="_Toc78968136"/>
      <w:r w:rsidRPr="005839A0">
        <w:t xml:space="preserve">The separate search space </w:t>
      </w:r>
      <w:r>
        <w:t xml:space="preserve">to monitor for C-RNTI </w:t>
      </w:r>
      <w:r w:rsidRPr="005839A0">
        <w:t>is common to the UEs performing RA-SDT</w:t>
      </w:r>
      <w:bookmarkEnd w:id="4"/>
      <w:r w:rsidRPr="005839A0">
        <w:t xml:space="preserve"> </w:t>
      </w:r>
    </w:p>
    <w:p w14:paraId="4FAC4C9F" w14:textId="5D353D0F" w:rsidR="003A4FA9" w:rsidRPr="0036263B" w:rsidRDefault="003A4FA9" w:rsidP="003A4FA9">
      <w:pPr>
        <w:pStyle w:val="BodyText"/>
      </w:pPr>
      <w:r w:rsidRPr="0036263B">
        <w:t>At the same time, in the past meetings it has been also agreed that CG-SDT resources can be configured on either the initial BWP or a separate SDT-specific BWP</w:t>
      </w:r>
      <w:r w:rsidR="00E5462F" w:rsidRPr="0036263B">
        <w:t xml:space="preserve"> (denoted as SDT-BWP in the remainder of this document)</w:t>
      </w:r>
      <w:r w:rsidRPr="0036263B">
        <w:t xml:space="preserve">. The agreement holds under the assumption that is up to the network to configure the </w:t>
      </w:r>
      <w:r w:rsidR="00E5462F" w:rsidRPr="0036263B">
        <w:t>SDT-</w:t>
      </w:r>
      <w:r w:rsidRPr="0036263B">
        <w:t>BWP so that a UE can still use all the channels that are common to other UEs not using this BWP, which means that the two BWPs may overlap.</w:t>
      </w:r>
    </w:p>
    <w:p w14:paraId="20046194" w14:textId="77777777" w:rsidR="003A4FA9" w:rsidRPr="0036263B" w:rsidRDefault="003A4FA9" w:rsidP="003A4FA9">
      <w:pPr>
        <w:pStyle w:val="Observation"/>
      </w:pPr>
      <w:bookmarkStart w:id="5" w:name="_Toc78968137"/>
      <w:r w:rsidRPr="0036263B">
        <w:t>CG-SDT resources may be configured on a separate SDT-specific BWP (pending RAN1 confirmation)</w:t>
      </w:r>
      <w:bookmarkEnd w:id="5"/>
    </w:p>
    <w:p w14:paraId="2A08D9A7" w14:textId="353CC577" w:rsidR="0036263B" w:rsidRDefault="0036263B" w:rsidP="003A4FA9">
      <w:pPr>
        <w:pStyle w:val="BodyText"/>
      </w:pPr>
      <w:r w:rsidRPr="00757B80">
        <w:lastRenderedPageBreak/>
        <w:t>Differently</w:t>
      </w:r>
      <w:r>
        <w:t xml:space="preserve"> from CG-SDT, though, for RA-SDT it might be problematic to use a BWP different from the initial BWP. </w:t>
      </w:r>
      <w:r w:rsidR="00B111E4">
        <w:t xml:space="preserve">For example, </w:t>
      </w:r>
      <w:r w:rsidR="00656CD0">
        <w:t xml:space="preserve">according to current NR spec., the BWP size </w:t>
      </w:r>
      <w:r w:rsidR="00CC5828">
        <w:t xml:space="preserve">used by the frequency domain resource assignment </w:t>
      </w:r>
      <w:r w:rsidR="00A54D31">
        <w:t xml:space="preserve">field </w:t>
      </w:r>
      <w:r w:rsidR="00CC5828">
        <w:t>in</w:t>
      </w:r>
      <w:r w:rsidR="00656CD0">
        <w:t xml:space="preserve"> fallback DCI </w:t>
      </w:r>
      <w:r w:rsidR="006601FD">
        <w:t xml:space="preserve">monitored in common search space </w:t>
      </w:r>
      <w:r w:rsidR="00656CD0">
        <w:t xml:space="preserve">in random access </w:t>
      </w:r>
      <w:r w:rsidR="004363DA">
        <w:t>is the size of initial UL</w:t>
      </w:r>
      <w:r w:rsidR="00114723">
        <w:t xml:space="preserve"> BWP for uplink, and initial </w:t>
      </w:r>
      <w:r w:rsidR="004363DA">
        <w:t>DL BWP</w:t>
      </w:r>
      <w:r w:rsidR="00D95DB5">
        <w:t xml:space="preserve"> or CORESET0 size if provided</w:t>
      </w:r>
      <w:r w:rsidR="00114723">
        <w:t xml:space="preserve"> for downlink</w:t>
      </w:r>
      <w:r w:rsidR="004363DA">
        <w:t>.</w:t>
      </w:r>
      <w:r w:rsidR="00687A9C">
        <w:t xml:space="preserve"> If we introduce a new BWP for random access, such </w:t>
      </w:r>
      <w:r w:rsidR="00E72804">
        <w:t>behaviour</w:t>
      </w:r>
      <w:r w:rsidR="00687A9C">
        <w:t xml:space="preserve"> will </w:t>
      </w:r>
      <w:r w:rsidR="00757B80">
        <w:t>cause</w:t>
      </w:r>
      <w:r w:rsidR="00687A9C">
        <w:t xml:space="preserve"> </w:t>
      </w:r>
      <w:r w:rsidR="00757B80">
        <w:t>additional</w:t>
      </w:r>
      <w:r w:rsidR="00687A9C">
        <w:t xml:space="preserve"> </w:t>
      </w:r>
      <w:r w:rsidR="00757B80">
        <w:t>complexity</w:t>
      </w:r>
      <w:r w:rsidR="00687A9C">
        <w:t xml:space="preserve"> in RAN1 which should be justified by </w:t>
      </w:r>
      <w:r w:rsidR="00E72804">
        <w:t>gains from introducing another initial BWP and this is not clear for small data transmissions in RRC inactive state.</w:t>
      </w:r>
      <w:r>
        <w:t xml:space="preserve"> Therefore</w:t>
      </w:r>
      <w:r w:rsidR="0039090E">
        <w:t>,</w:t>
      </w:r>
      <w:r>
        <w:t xml:space="preserve"> all the resources needed for RA-SDT (the new CSS and the related RA resources), should be contained in the initial BWP.</w:t>
      </w:r>
    </w:p>
    <w:p w14:paraId="2F6A9A59" w14:textId="4EB8FD3E" w:rsidR="008222CD" w:rsidRDefault="0036263B">
      <w:pPr>
        <w:pStyle w:val="Proposal"/>
      </w:pPr>
      <w:bookmarkStart w:id="6" w:name="_Toc78968139"/>
      <w:r>
        <w:t>RA-SDT resources are configured on the initial BWP</w:t>
      </w:r>
      <w:bookmarkStart w:id="7" w:name="_Toc78893461"/>
      <w:bookmarkStart w:id="8" w:name="_Toc78967722"/>
      <w:bookmarkStart w:id="9" w:name="_Toc78967750"/>
      <w:bookmarkStart w:id="10" w:name="_Toc78893462"/>
      <w:bookmarkStart w:id="11" w:name="_Toc78967723"/>
      <w:bookmarkStart w:id="12" w:name="_Toc78967751"/>
      <w:bookmarkStart w:id="13" w:name="_Toc78893463"/>
      <w:bookmarkStart w:id="14" w:name="_Toc78967724"/>
      <w:bookmarkStart w:id="15" w:name="_Toc78967752"/>
      <w:bookmarkStart w:id="16" w:name="_Toc78893464"/>
      <w:bookmarkStart w:id="17" w:name="_Toc78967725"/>
      <w:bookmarkStart w:id="18" w:name="_Toc78967753"/>
      <w:bookmarkStart w:id="19" w:name="_Toc78893465"/>
      <w:bookmarkStart w:id="20" w:name="_Toc78967726"/>
      <w:bookmarkStart w:id="21" w:name="_Toc78967754"/>
      <w:bookmarkStart w:id="22" w:name="_Toc78893466"/>
      <w:bookmarkStart w:id="23" w:name="_Toc78967727"/>
      <w:bookmarkStart w:id="24" w:name="_Toc78967755"/>
      <w:bookmarkStart w:id="25" w:name="_Toc78893467"/>
      <w:bookmarkStart w:id="26" w:name="_Toc78967728"/>
      <w:bookmarkStart w:id="27" w:name="_Toc78967756"/>
      <w:bookmarkStart w:id="28" w:name="_Toc78893468"/>
      <w:bookmarkStart w:id="29" w:name="_Toc78967729"/>
      <w:bookmarkStart w:id="30" w:name="_Toc78967757"/>
      <w:bookmarkStart w:id="31" w:name="_Toc78893469"/>
      <w:bookmarkStart w:id="32" w:name="_Toc78967730"/>
      <w:bookmarkStart w:id="33" w:name="_Toc78967758"/>
      <w:bookmarkStart w:id="34" w:name="_Toc78893470"/>
      <w:bookmarkStart w:id="35" w:name="_Toc78967731"/>
      <w:bookmarkStart w:id="36" w:name="_Toc78967759"/>
      <w:bookmarkStart w:id="37" w:name="_Toc78893471"/>
      <w:bookmarkStart w:id="38" w:name="_Toc78967732"/>
      <w:bookmarkStart w:id="39" w:name="_Toc78967760"/>
      <w:bookmarkStart w:id="40" w:name="_Toc78893472"/>
      <w:bookmarkStart w:id="41" w:name="_Toc78967733"/>
      <w:bookmarkStart w:id="42" w:name="_Toc78967761"/>
      <w:bookmarkStart w:id="43" w:name="_Toc78893473"/>
      <w:bookmarkStart w:id="44" w:name="_Toc78967734"/>
      <w:bookmarkStart w:id="45" w:name="_Toc78967762"/>
      <w:bookmarkStart w:id="46" w:name="_Toc78893474"/>
      <w:bookmarkStart w:id="47" w:name="_Toc78967735"/>
      <w:bookmarkStart w:id="48" w:name="_Toc78967763"/>
      <w:bookmarkStart w:id="49" w:name="_Toc78893475"/>
      <w:bookmarkStart w:id="50" w:name="_Toc78967736"/>
      <w:bookmarkStart w:id="51" w:name="_Toc78967764"/>
      <w:bookmarkStart w:id="52" w:name="_Toc78893476"/>
      <w:bookmarkStart w:id="53" w:name="_Toc78967737"/>
      <w:bookmarkStart w:id="54" w:name="_Toc78967765"/>
      <w:bookmarkStart w:id="55" w:name="_Toc78893477"/>
      <w:bookmarkStart w:id="56" w:name="_Toc78967738"/>
      <w:bookmarkStart w:id="57" w:name="_Toc78967766"/>
      <w:bookmarkStart w:id="58" w:name="_Toc78893478"/>
      <w:bookmarkStart w:id="59" w:name="_Toc78967739"/>
      <w:bookmarkStart w:id="60" w:name="_Toc78967767"/>
      <w:bookmarkStart w:id="61" w:name="_Toc78893479"/>
      <w:bookmarkStart w:id="62" w:name="_Toc78967740"/>
      <w:bookmarkStart w:id="63" w:name="_Toc7896776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
    </w:p>
    <w:p w14:paraId="7E8C60F5" w14:textId="7D9300D3" w:rsidR="007017A0" w:rsidRDefault="007017A0" w:rsidP="007017A0">
      <w:pPr>
        <w:pStyle w:val="BodyText"/>
      </w:pPr>
      <w:r>
        <w:t>As a final note, if the new CSS is partially overlapped with the legacy CSS</w:t>
      </w:r>
      <w:r w:rsidR="0089744C">
        <w:t xml:space="preserve">, there might be a problem with RNTI collision (same RNTI assigned to UEs monitoring different CSSs). It could be a problem both for RNTIs assigned by the network (e.g.: C-RNTI) or for RNTI calculated by the UE during RACH procedure (RA-RNTI or MSGB-RNTI). It should be up to the </w:t>
      </w:r>
      <w:proofErr w:type="spellStart"/>
      <w:r w:rsidR="0089744C">
        <w:t>gNB</w:t>
      </w:r>
      <w:proofErr w:type="spellEnd"/>
      <w:r w:rsidR="0089744C">
        <w:t xml:space="preserve"> to avoid this problem by avoiding CSS overlap, or avoiding problematic assignment of RNTIs or problematic RACH configurations.</w:t>
      </w:r>
    </w:p>
    <w:p w14:paraId="0B939006" w14:textId="5A173267" w:rsidR="0089744C" w:rsidRDefault="0089744C" w:rsidP="0089744C">
      <w:pPr>
        <w:pStyle w:val="Proposal"/>
      </w:pPr>
      <w:bookmarkStart w:id="64" w:name="_Toc78968140"/>
      <w:r>
        <w:t xml:space="preserve">It is up to the </w:t>
      </w:r>
      <w:proofErr w:type="spellStart"/>
      <w:r>
        <w:t>gNB</w:t>
      </w:r>
      <w:proofErr w:type="spellEnd"/>
      <w:r>
        <w:t xml:space="preserve"> to avoid RNTI collisions if the legacy and new CSSs are overlapped</w:t>
      </w:r>
      <w:bookmarkEnd w:id="64"/>
    </w:p>
    <w:p w14:paraId="2DA96552" w14:textId="5F669C70" w:rsidR="007636C1" w:rsidRPr="003A2B6B" w:rsidRDefault="007636C1" w:rsidP="007636C1">
      <w:pPr>
        <w:pStyle w:val="Heading2"/>
      </w:pPr>
      <w:r w:rsidRPr="003A2B6B">
        <w:t>2.</w:t>
      </w:r>
      <w:r w:rsidR="00B07CAD" w:rsidRPr="003A2B6B">
        <w:t>2</w:t>
      </w:r>
      <w:r w:rsidRPr="003A2B6B">
        <w:tab/>
        <w:t>Contention Resolution</w:t>
      </w:r>
    </w:p>
    <w:p w14:paraId="22E881CB" w14:textId="74ABDD96" w:rsidR="00B624A6" w:rsidRPr="003A2B6B" w:rsidRDefault="00B624A6" w:rsidP="001A2B75">
      <w:pPr>
        <w:pStyle w:val="BodyText"/>
      </w:pPr>
      <w:r w:rsidRPr="003A2B6B">
        <w:t>As mentioned in Section 1, it has been agreed that upon successful completion of contention resolution, the UE shall monitor C-RNTI, in particular to receive UL grants for subsequent transmissions.</w:t>
      </w:r>
    </w:p>
    <w:p w14:paraId="13E365D2" w14:textId="1E40037E" w:rsidR="00B624A6" w:rsidRPr="003A2B6B" w:rsidRDefault="00B624A6" w:rsidP="001A2B75">
      <w:pPr>
        <w:pStyle w:val="BodyText"/>
      </w:pPr>
      <w:r w:rsidRPr="003A2B6B">
        <w:t xml:space="preserve">In a previous contribution </w:t>
      </w:r>
      <w:r w:rsidR="00A33E59" w:rsidRPr="003A2B6B">
        <w:fldChar w:fldCharType="begin"/>
      </w:r>
      <w:r w:rsidR="00A33E59" w:rsidRPr="003A2B6B">
        <w:instrText xml:space="preserve"> REF _Ref67064002 \r \h </w:instrText>
      </w:r>
      <w:r w:rsidR="003A2B6B">
        <w:instrText xml:space="preserve"> \* MERGEFORMAT </w:instrText>
      </w:r>
      <w:r w:rsidR="00A33E59" w:rsidRPr="003A2B6B">
        <w:fldChar w:fldCharType="separate"/>
      </w:r>
      <w:r w:rsidR="00DF1C84">
        <w:t>[4]</w:t>
      </w:r>
      <w:r w:rsidR="00A33E59" w:rsidRPr="003A2B6B">
        <w:fldChar w:fldCharType="end"/>
      </w:r>
      <w:r w:rsidR="00A33E59" w:rsidRPr="003A2B6B">
        <w:t xml:space="preserve"> </w:t>
      </w:r>
      <w:r w:rsidRPr="003A2B6B">
        <w:t xml:space="preserve">we discussed how </w:t>
      </w:r>
      <w:r w:rsidR="002734BF" w:rsidRPr="003A2B6B">
        <w:t xml:space="preserve">for RA-SDT with subsequent data </w:t>
      </w:r>
      <w:r w:rsidRPr="003A2B6B">
        <w:t>the contention could be resolved</w:t>
      </w:r>
      <w:r w:rsidR="00312FEF" w:rsidRPr="003A2B6B">
        <w:t xml:space="preserve"> (a)</w:t>
      </w:r>
      <w:r w:rsidRPr="003A2B6B">
        <w:t xml:space="preserve"> immediately after Msg3/</w:t>
      </w:r>
      <w:proofErr w:type="spellStart"/>
      <w:r w:rsidRPr="003A2B6B">
        <w:t>MsgA</w:t>
      </w:r>
      <w:proofErr w:type="spellEnd"/>
      <w:r w:rsidRPr="003A2B6B">
        <w:t xml:space="preserve"> transmission through a DL transmission containing the Contention Resolution ID (CRID) or </w:t>
      </w:r>
      <w:r w:rsidR="00312FEF" w:rsidRPr="003A2B6B">
        <w:t xml:space="preserve">(b) </w:t>
      </w:r>
      <w:r w:rsidRPr="003A2B6B">
        <w:t xml:space="preserve">at the end of the SDT procedure when the </w:t>
      </w:r>
      <w:proofErr w:type="spellStart"/>
      <w:r w:rsidRPr="003A2B6B">
        <w:t>gNB</w:t>
      </w:r>
      <w:proofErr w:type="spellEnd"/>
      <w:r w:rsidRPr="003A2B6B">
        <w:t xml:space="preserve"> sends a DL RRC message to either release the connection or move the UE in RRC_CONNECTED.</w:t>
      </w:r>
    </w:p>
    <w:p w14:paraId="66CB75CB" w14:textId="671C26CE" w:rsidR="00B624A6" w:rsidRPr="003A2B6B" w:rsidRDefault="00B624A6" w:rsidP="001A2B75">
      <w:pPr>
        <w:pStyle w:val="BodyText"/>
      </w:pPr>
      <w:r w:rsidRPr="003A2B6B">
        <w:t>Nevertheless, considering th</w:t>
      </w:r>
      <w:r w:rsidR="00953BED">
        <w:t>at C-RNTI will be transmitted in a new CSS</w:t>
      </w:r>
      <w:r w:rsidRPr="003A2B6B">
        <w:t xml:space="preserve"> it should be agreed that contention is resolved immediately after Msg3 or </w:t>
      </w:r>
      <w:proofErr w:type="spellStart"/>
      <w:r w:rsidRPr="003A2B6B">
        <w:t>MsgA</w:t>
      </w:r>
      <w:proofErr w:type="spellEnd"/>
      <w:r w:rsidRPr="003A2B6B">
        <w:t xml:space="preserve"> transmission</w:t>
      </w:r>
      <w:r w:rsidR="00953BED">
        <w:t>, otherwise multiple UEs may consider the same C-RNTI (TC-RNTI at that point in time) for scheduling of subsequent transmissions</w:t>
      </w:r>
      <w:r w:rsidRPr="003A2B6B">
        <w:t>.</w:t>
      </w:r>
      <w:r w:rsidR="00312FEF" w:rsidRPr="003A2B6B">
        <w:t xml:space="preserve"> Although this is a legacy behaviour, it might not be clear that this behaviour is required also for SDT.</w:t>
      </w:r>
    </w:p>
    <w:p w14:paraId="50FC565F" w14:textId="51D94D95" w:rsidR="006043E3" w:rsidRPr="003A2B6B" w:rsidRDefault="006043E3" w:rsidP="001A2B75">
      <w:pPr>
        <w:pStyle w:val="BodyText"/>
      </w:pPr>
      <w:r w:rsidRPr="003A2B6B">
        <w:t>Moreover, by resolving the contention immediately, the subsequent transmissions are not affected by collisions with other UEs, improving in general the performance of the system.</w:t>
      </w:r>
    </w:p>
    <w:p w14:paraId="4CF31776" w14:textId="7B9686C9" w:rsidR="00B624A6" w:rsidRPr="003A2B6B" w:rsidRDefault="00A33E59" w:rsidP="001A2B75">
      <w:pPr>
        <w:pStyle w:val="BodyText"/>
      </w:pPr>
      <w:r w:rsidRPr="003A2B6B">
        <w:t>The</w:t>
      </w:r>
      <w:r w:rsidR="00B07CAD" w:rsidRPr="003A2B6B">
        <w:t>re is no</w:t>
      </w:r>
      <w:r w:rsidRPr="003A2B6B">
        <w:t xml:space="preserve"> impact on 2-step RACH SDT</w:t>
      </w:r>
      <w:r w:rsidR="00312FEF" w:rsidRPr="003A2B6B">
        <w:t>, considering the general understanding of SDT before this discussion,</w:t>
      </w:r>
      <w:r w:rsidRPr="003A2B6B">
        <w:t xml:space="preserve"> </w:t>
      </w:r>
      <w:r w:rsidR="00B07CAD" w:rsidRPr="003A2B6B">
        <w:t>as</w:t>
      </w:r>
      <w:r w:rsidRPr="003A2B6B">
        <w:t xml:space="preserve"> </w:t>
      </w:r>
      <w:proofErr w:type="spellStart"/>
      <w:r w:rsidRPr="003A2B6B">
        <w:t>MsgB</w:t>
      </w:r>
      <w:proofErr w:type="spellEnd"/>
      <w:r w:rsidRPr="003A2B6B">
        <w:t xml:space="preserve"> </w:t>
      </w:r>
      <w:r w:rsidR="00312FEF" w:rsidRPr="003A2B6B">
        <w:t xml:space="preserve">already </w:t>
      </w:r>
      <w:r w:rsidRPr="003A2B6B">
        <w:t>contain</w:t>
      </w:r>
      <w:r w:rsidR="00312FEF" w:rsidRPr="003A2B6B">
        <w:t>s</w:t>
      </w:r>
      <w:r w:rsidRPr="003A2B6B">
        <w:t xml:space="preserve"> the CRID </w:t>
      </w:r>
      <w:r w:rsidR="00312FEF" w:rsidRPr="003A2B6B">
        <w:t>in its</w:t>
      </w:r>
      <w:r w:rsidR="00B07CAD" w:rsidRPr="003A2B6B">
        <w:t xml:space="preserve"> legacy format</w:t>
      </w:r>
      <w:r w:rsidRPr="003A2B6B">
        <w:t>.</w:t>
      </w:r>
      <w:r w:rsidR="00B07CAD" w:rsidRPr="003A2B6B">
        <w:t xml:space="preserve"> Also, differently from legacy, a DL RRC message is not needed, making </w:t>
      </w:r>
      <w:proofErr w:type="spellStart"/>
      <w:r w:rsidR="00B07CAD" w:rsidRPr="003A2B6B">
        <w:t>M</w:t>
      </w:r>
      <w:r w:rsidR="00EC09DB" w:rsidRPr="003A2B6B">
        <w:t>sg</w:t>
      </w:r>
      <w:r w:rsidR="00B07CAD" w:rsidRPr="003A2B6B">
        <w:t>B</w:t>
      </w:r>
      <w:proofErr w:type="spellEnd"/>
      <w:r w:rsidR="00B07CAD" w:rsidRPr="003A2B6B">
        <w:t xml:space="preserve"> smaller.</w:t>
      </w:r>
    </w:p>
    <w:p w14:paraId="3C079004" w14:textId="3547BD40" w:rsidR="00A33E59" w:rsidRPr="003A2B6B" w:rsidRDefault="00A33E59" w:rsidP="001A2B75">
      <w:pPr>
        <w:pStyle w:val="BodyText"/>
      </w:pPr>
      <w:r w:rsidRPr="003A2B6B">
        <w:t>The impact on 4-step RACH SDT is more relevant, because between Msg3 and the final RRC DL message the intention was to have only subsequent transmission in RRC_INACTIVE, but a short DL message containing the CRID is required after Msg3 transmission.</w:t>
      </w:r>
    </w:p>
    <w:p w14:paraId="6EECEB99" w14:textId="75300EBC" w:rsidR="00B624A6" w:rsidRPr="003A2B6B" w:rsidRDefault="00B624A6" w:rsidP="00B624A6">
      <w:pPr>
        <w:pStyle w:val="Proposal"/>
      </w:pPr>
      <w:bookmarkStart w:id="65" w:name="_Toc78968141"/>
      <w:r w:rsidRPr="003A2B6B">
        <w:t xml:space="preserve">Contention Resolution ID is sent (4-step RACH) in a DL transmission immediately after Msg3 (this transmission, differently from the legacy Msg4 will not contain DL RRC messages), or (2-step RACH) in </w:t>
      </w:r>
      <w:proofErr w:type="spellStart"/>
      <w:r w:rsidRPr="003A2B6B">
        <w:t>MsgB</w:t>
      </w:r>
      <w:proofErr w:type="spellEnd"/>
      <w:r w:rsidR="00ED0725">
        <w:t>.</w:t>
      </w:r>
      <w:bookmarkEnd w:id="65"/>
    </w:p>
    <w:p w14:paraId="1ED41C2A" w14:textId="65074658" w:rsidR="00B624A6" w:rsidRPr="003A2B6B" w:rsidRDefault="00A33E59" w:rsidP="001A2B75">
      <w:pPr>
        <w:pStyle w:val="BodyText"/>
      </w:pPr>
      <w:r w:rsidRPr="003A2B6B">
        <w:t xml:space="preserve">It is worth mentioning that based on the analysis of subsequent packet transmission presented in </w:t>
      </w:r>
      <w:r w:rsidR="00CD1936" w:rsidRPr="003A2B6B">
        <w:fldChar w:fldCharType="begin"/>
      </w:r>
      <w:r w:rsidR="00CD1936" w:rsidRPr="003A2B6B">
        <w:instrText xml:space="preserve"> REF _Ref67489011 \r \h </w:instrText>
      </w:r>
      <w:r w:rsidR="003A2B6B">
        <w:instrText xml:space="preserve"> \* MERGEFORMAT </w:instrText>
      </w:r>
      <w:r w:rsidR="00CD1936" w:rsidRPr="003A2B6B">
        <w:fldChar w:fldCharType="separate"/>
      </w:r>
      <w:r w:rsidR="00DF1C84">
        <w:t>[4]</w:t>
      </w:r>
      <w:r w:rsidR="00CD1936" w:rsidRPr="003A2B6B">
        <w:fldChar w:fldCharType="end"/>
      </w:r>
      <w:r w:rsidRPr="003A2B6B">
        <w:t xml:space="preserve">, adding one further DL transmission after Msg3 reduces even more the usefulness of sending multiple packet transmissions in RRC_INACTIVE rather than moving the UE </w:t>
      </w:r>
      <w:r w:rsidR="00F84F95" w:rsidRPr="003A2B6B">
        <w:t xml:space="preserve">to </w:t>
      </w:r>
      <w:r w:rsidRPr="003A2B6B">
        <w:t>RRC_CONNECTED.</w:t>
      </w:r>
      <w:r w:rsidR="00312FEF" w:rsidRPr="003A2B6B">
        <w:t xml:space="preserve"> The gain appears to be limited to the inclusion of data in Msg3 rather than on the subsequent packet transmissions.</w:t>
      </w:r>
    </w:p>
    <w:p w14:paraId="1820E0D3" w14:textId="3D55269F" w:rsidR="00A80CF6" w:rsidRDefault="00A33E59" w:rsidP="00A80CF6">
      <w:pPr>
        <w:pStyle w:val="Observation"/>
      </w:pPr>
      <w:bookmarkStart w:id="66" w:name="_Toc78968138"/>
      <w:r w:rsidRPr="003A2B6B">
        <w:t xml:space="preserve">Sending the contention resolution ID after Msg3 in 4-step RACH SDT, reduces </w:t>
      </w:r>
      <w:r w:rsidR="006043E3" w:rsidRPr="003A2B6B">
        <w:t xml:space="preserve">the usefulness of sending multiple subsequent transmissions with respect to what presented in a previous contribution </w:t>
      </w:r>
      <w:r w:rsidR="00EF30D4" w:rsidRPr="003A2B6B">
        <w:fldChar w:fldCharType="begin"/>
      </w:r>
      <w:r w:rsidR="00EF30D4" w:rsidRPr="003A2B6B">
        <w:instrText xml:space="preserve"> REF _Ref67489011 \r \h </w:instrText>
      </w:r>
      <w:r w:rsidR="003A2B6B">
        <w:instrText xml:space="preserve"> \* MERGEFORMAT </w:instrText>
      </w:r>
      <w:r w:rsidR="00EF30D4" w:rsidRPr="003A2B6B">
        <w:fldChar w:fldCharType="separate"/>
      </w:r>
      <w:r w:rsidR="00DF1C84">
        <w:t>[4]</w:t>
      </w:r>
      <w:r w:rsidR="00EF30D4" w:rsidRPr="003A2B6B">
        <w:fldChar w:fldCharType="end"/>
      </w:r>
      <w:r w:rsidR="00F84F95" w:rsidRPr="003A2B6B">
        <w:t>.</w:t>
      </w:r>
      <w:bookmarkEnd w:id="66"/>
    </w:p>
    <w:p w14:paraId="11937058" w14:textId="58FCA280" w:rsidR="00AE1DAD" w:rsidRDefault="00AE1DAD" w:rsidP="00AE1DAD">
      <w:pPr>
        <w:pStyle w:val="Heading2"/>
      </w:pPr>
      <w:r>
        <w:t>2.3</w:t>
      </w:r>
      <w:r>
        <w:tab/>
        <w:t>RACH resources configuration</w:t>
      </w:r>
    </w:p>
    <w:p w14:paraId="6EF2DD8B" w14:textId="25028D06" w:rsidR="00AE1DAD" w:rsidRDefault="00AE1DAD" w:rsidP="00AE1DAD">
      <w:pPr>
        <w:pStyle w:val="BodyText"/>
      </w:pPr>
      <w:r>
        <w:t xml:space="preserve">Several agreements regarding the configuration of RACH resources for SDT have already been made. Nevertheless, in Rel-17 </w:t>
      </w:r>
      <w:r w:rsidR="009710DA">
        <w:t xml:space="preserve">a </w:t>
      </w:r>
      <w:r>
        <w:t xml:space="preserve">few other features seem to require a preamble partitioning to indicate a specific configuration of such feature, or that the feature itself is enabled. Currently these features are handled in </w:t>
      </w:r>
      <w:proofErr w:type="spellStart"/>
      <w:r>
        <w:t>RedCap</w:t>
      </w:r>
      <w:proofErr w:type="spellEnd"/>
      <w:r>
        <w:t xml:space="preserve">, Network Slicing and Coverage Enhancement </w:t>
      </w:r>
      <w:proofErr w:type="spellStart"/>
      <w:r>
        <w:t>WIs.</w:t>
      </w:r>
      <w:proofErr w:type="spellEnd"/>
    </w:p>
    <w:p w14:paraId="66A0345A" w14:textId="45FF8C49" w:rsidR="00AE1DAD" w:rsidRDefault="00AE1DAD" w:rsidP="00AE1DAD">
      <w:pPr>
        <w:pStyle w:val="BodyText"/>
      </w:pPr>
      <w:r>
        <w:lastRenderedPageBreak/>
        <w:t xml:space="preserve">As described in more detail in </w:t>
      </w:r>
      <w:r>
        <w:fldChar w:fldCharType="begin"/>
      </w:r>
      <w:r>
        <w:instrText xml:space="preserve"> REF _Ref71028233 \r \h </w:instrText>
      </w:r>
      <w:r>
        <w:fldChar w:fldCharType="separate"/>
      </w:r>
      <w:r w:rsidR="00DF1C84">
        <w:t>[5]</w:t>
      </w:r>
      <w:r>
        <w:fldChar w:fldCharType="end"/>
      </w:r>
      <w:r>
        <w:t xml:space="preserve">, it is not sufficient to define a set of </w:t>
      </w:r>
      <w:proofErr w:type="gramStart"/>
      <w:r>
        <w:t>preamble</w:t>
      </w:r>
      <w:proofErr w:type="gramEnd"/>
      <w:r>
        <w:t xml:space="preserve"> per each feature, but it is needed to have one per each possible combination of such features. For instance, it is possible that a </w:t>
      </w:r>
      <w:proofErr w:type="spellStart"/>
      <w:r>
        <w:t>RedCap</w:t>
      </w:r>
      <w:proofErr w:type="spellEnd"/>
      <w:r>
        <w:t xml:space="preserve"> UE may want to use SDT, and thus a set of preambles should indicate both.</w:t>
      </w:r>
    </w:p>
    <w:p w14:paraId="55B48A36" w14:textId="19B751D0" w:rsidR="0089744C" w:rsidRDefault="00953BED" w:rsidP="00AE1DAD">
      <w:pPr>
        <w:pStyle w:val="BodyText"/>
      </w:pPr>
      <w:r>
        <w:t>T</w:t>
      </w:r>
      <w:r w:rsidR="00EE1008">
        <w:t xml:space="preserve">he most reasonable course of action should be to define a generalized way to specify new partitions for all the new features jointly. </w:t>
      </w:r>
      <w:r w:rsidR="0089744C">
        <w:t>For this scope a new Agenda Item has been introduced to discuss the issue.</w:t>
      </w:r>
    </w:p>
    <w:p w14:paraId="15A5246A" w14:textId="42CCCDAF" w:rsidR="00EE1008" w:rsidRDefault="0089744C" w:rsidP="00AE1DAD">
      <w:pPr>
        <w:pStyle w:val="BodyText"/>
      </w:pPr>
      <w:r>
        <w:t>Further</w:t>
      </w:r>
      <w:r w:rsidR="00EE1008">
        <w:t xml:space="preserve"> agreement on this topic for SDT should be conditional to </w:t>
      </w:r>
      <w:r>
        <w:t>the outcome of the new AI discussion</w:t>
      </w:r>
      <w:r w:rsidR="00EE1008">
        <w:t>.</w:t>
      </w:r>
    </w:p>
    <w:p w14:paraId="21593391" w14:textId="182865BB" w:rsidR="00EE1008" w:rsidRDefault="00EE1008" w:rsidP="00DA35C6">
      <w:pPr>
        <w:pStyle w:val="Proposal"/>
      </w:pPr>
      <w:bookmarkStart w:id="67" w:name="_Toc78968142"/>
      <w:r>
        <w:t xml:space="preserve">Postpone further </w:t>
      </w:r>
      <w:r w:rsidR="009A75CE">
        <w:t xml:space="preserve">detailed </w:t>
      </w:r>
      <w:r>
        <w:t>agreements on SDT RACH configuration until a course of action is agreed jointly with the other interested W</w:t>
      </w:r>
      <w:r w:rsidR="009710DA">
        <w:t>I</w:t>
      </w:r>
      <w:r>
        <w:t>s</w:t>
      </w:r>
      <w:bookmarkEnd w:id="67"/>
    </w:p>
    <w:p w14:paraId="5FCA9EB8" w14:textId="7360F27A" w:rsidR="0089744C" w:rsidRDefault="0089744C" w:rsidP="0089744C">
      <w:pPr>
        <w:pStyle w:val="BodyText"/>
      </w:pPr>
      <w:r>
        <w:t>Nevertheless, it is important to notify the new discussion group of possible characteristics that are SDT</w:t>
      </w:r>
      <w:r w:rsidR="00953BED">
        <w:t>-</w:t>
      </w:r>
      <w:r>
        <w:t>specific and possible incompatibility with existing and new features.</w:t>
      </w:r>
    </w:p>
    <w:p w14:paraId="47F4E674" w14:textId="3C645FFA" w:rsidR="0089744C" w:rsidRDefault="0089744C" w:rsidP="0089744C">
      <w:pPr>
        <w:pStyle w:val="BodyText"/>
      </w:pPr>
      <w:r>
        <w:t xml:space="preserve">For instance, the combination of SDT with </w:t>
      </w:r>
      <w:proofErr w:type="spellStart"/>
      <w:r>
        <w:t>RedCap</w:t>
      </w:r>
      <w:proofErr w:type="spellEnd"/>
      <w:r>
        <w:t xml:space="preserve"> should be supported, in the same way as 2-step RACH and Group A / Group B preamble split, as it was agreed to have two preamble groups for SDT.</w:t>
      </w:r>
    </w:p>
    <w:p w14:paraId="1B9985D7" w14:textId="3ABE94EF" w:rsidR="00D50D44" w:rsidRPr="00630873" w:rsidRDefault="0089744C" w:rsidP="0089744C">
      <w:pPr>
        <w:pStyle w:val="Proposal"/>
      </w:pPr>
      <w:bookmarkStart w:id="68" w:name="_Toc78968143"/>
      <w:r>
        <w:t xml:space="preserve">Combination of SDT and 2-step RACH, 4-step RACH, Group B and </w:t>
      </w:r>
      <w:proofErr w:type="spellStart"/>
      <w:r>
        <w:t>RedCap</w:t>
      </w:r>
      <w:proofErr w:type="spellEnd"/>
      <w:r>
        <w:t xml:space="preserve"> should be supported</w:t>
      </w:r>
      <w:bookmarkEnd w:id="68"/>
    </w:p>
    <w:p w14:paraId="23339723" w14:textId="77777777" w:rsidR="00C01F33" w:rsidRPr="003A2B6B" w:rsidRDefault="00C01F33" w:rsidP="00CE0424">
      <w:pPr>
        <w:pStyle w:val="Heading1"/>
      </w:pPr>
      <w:r w:rsidRPr="003A2B6B">
        <w:t>Conclusion</w:t>
      </w:r>
    </w:p>
    <w:p w14:paraId="0D39E4CC" w14:textId="77777777" w:rsidR="008E065E" w:rsidRPr="003A2B6B" w:rsidRDefault="008E065E" w:rsidP="008E065E">
      <w:pPr>
        <w:pStyle w:val="BodyText"/>
        <w:rPr>
          <w:b/>
          <w:bCs/>
        </w:rPr>
      </w:pPr>
      <w:bookmarkStart w:id="69" w:name="_Hlk76116627"/>
      <w:r w:rsidRPr="003A2B6B">
        <w:t xml:space="preserve">In </w:t>
      </w:r>
      <w:r w:rsidR="007729A2" w:rsidRPr="003A2B6B">
        <w:t xml:space="preserve">the previous </w:t>
      </w:r>
      <w:r w:rsidRPr="003A2B6B">
        <w:t>section</w:t>
      </w:r>
      <w:r w:rsidR="007729A2" w:rsidRPr="003A2B6B">
        <w:t>s</w:t>
      </w:r>
      <w:r w:rsidRPr="003A2B6B">
        <w:t xml:space="preserve"> we made the following observations:</w:t>
      </w:r>
      <w:r w:rsidR="00C93814" w:rsidRPr="003A2B6B">
        <w:rPr>
          <w:b/>
          <w:bCs/>
        </w:rPr>
        <w:t xml:space="preserve"> </w:t>
      </w:r>
    </w:p>
    <w:p w14:paraId="02506E98" w14:textId="77777777" w:rsidR="00DF1C8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78968136" w:history="1">
        <w:r w:rsidR="00DF1C84" w:rsidRPr="00202F93">
          <w:rPr>
            <w:rStyle w:val="Hyperlink"/>
            <w:noProof/>
          </w:rPr>
          <w:t>Observation 1</w:t>
        </w:r>
        <w:r w:rsidR="00DF1C84">
          <w:rPr>
            <w:rFonts w:asciiTheme="minorHAnsi" w:eastAsiaTheme="minorEastAsia" w:hAnsiTheme="minorHAnsi" w:cstheme="minorBidi"/>
            <w:b w:val="0"/>
            <w:noProof/>
            <w:sz w:val="22"/>
            <w:szCs w:val="22"/>
            <w:lang w:eastAsia="en-GB"/>
          </w:rPr>
          <w:tab/>
        </w:r>
        <w:r w:rsidR="00DF1C84" w:rsidRPr="00202F93">
          <w:rPr>
            <w:rStyle w:val="Hyperlink"/>
            <w:noProof/>
          </w:rPr>
          <w:t>The separate search space to monitor for C-RNTI is common to the UEs performing RA-SDT</w:t>
        </w:r>
      </w:hyperlink>
    </w:p>
    <w:p w14:paraId="62AF62D5" w14:textId="77777777" w:rsidR="00DF1C84" w:rsidRDefault="00B72BBD">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68137" w:history="1">
        <w:r w:rsidR="00DF1C84" w:rsidRPr="00202F93">
          <w:rPr>
            <w:rStyle w:val="Hyperlink"/>
            <w:noProof/>
          </w:rPr>
          <w:t>Observation 2</w:t>
        </w:r>
        <w:r w:rsidR="00DF1C84">
          <w:rPr>
            <w:rFonts w:asciiTheme="minorHAnsi" w:eastAsiaTheme="minorEastAsia" w:hAnsiTheme="minorHAnsi" w:cstheme="minorBidi"/>
            <w:b w:val="0"/>
            <w:noProof/>
            <w:sz w:val="22"/>
            <w:szCs w:val="22"/>
            <w:lang w:eastAsia="en-GB"/>
          </w:rPr>
          <w:tab/>
        </w:r>
        <w:r w:rsidR="00DF1C84" w:rsidRPr="00202F93">
          <w:rPr>
            <w:rStyle w:val="Hyperlink"/>
            <w:noProof/>
          </w:rPr>
          <w:t>CG-SDT resources may be configured on a separate SDT-specific BWP (pending RAN1 confirmation)</w:t>
        </w:r>
      </w:hyperlink>
    </w:p>
    <w:p w14:paraId="7D6F6643" w14:textId="77777777" w:rsidR="00DF1C84" w:rsidRDefault="00B72BBD">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68138" w:history="1">
        <w:r w:rsidR="00DF1C84" w:rsidRPr="00202F93">
          <w:rPr>
            <w:rStyle w:val="Hyperlink"/>
            <w:noProof/>
          </w:rPr>
          <w:t>Observation 3</w:t>
        </w:r>
        <w:r w:rsidR="00DF1C84">
          <w:rPr>
            <w:rFonts w:asciiTheme="minorHAnsi" w:eastAsiaTheme="minorEastAsia" w:hAnsiTheme="minorHAnsi" w:cstheme="minorBidi"/>
            <w:b w:val="0"/>
            <w:noProof/>
            <w:sz w:val="22"/>
            <w:szCs w:val="22"/>
            <w:lang w:eastAsia="en-GB"/>
          </w:rPr>
          <w:tab/>
        </w:r>
        <w:r w:rsidR="00DF1C84" w:rsidRPr="00202F93">
          <w:rPr>
            <w:rStyle w:val="Hyperlink"/>
            <w:noProof/>
          </w:rPr>
          <w:t>Sending the contention resolution ID after Msg3 in 4-step RACH SDT, reduces the usefulness of sending multiple subsequent transmissions with respect to what presented in a previous contribution [4].</w:t>
        </w:r>
      </w:hyperlink>
    </w:p>
    <w:p w14:paraId="3AE6356E" w14:textId="35B303DD" w:rsidR="006E1C82" w:rsidRPr="003A2B6B" w:rsidRDefault="006F6582" w:rsidP="008E065E">
      <w:pPr>
        <w:pStyle w:val="BodyText"/>
        <w:rPr>
          <w:b/>
          <w:bCs/>
        </w:rPr>
      </w:pPr>
      <w:r w:rsidRPr="003A2B6B">
        <w:rPr>
          <w:b/>
          <w:bCs/>
        </w:rPr>
        <w:fldChar w:fldCharType="end"/>
      </w:r>
    </w:p>
    <w:p w14:paraId="2C9C9770" w14:textId="77777777"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08F66C02" w14:textId="77777777" w:rsidR="00DF1C8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78968139" w:history="1">
        <w:r w:rsidR="00DF1C84" w:rsidRPr="0069432E">
          <w:rPr>
            <w:rStyle w:val="Hyperlink"/>
            <w:noProof/>
          </w:rPr>
          <w:t>Proposal 1</w:t>
        </w:r>
        <w:r w:rsidR="00DF1C84">
          <w:rPr>
            <w:rFonts w:asciiTheme="minorHAnsi" w:eastAsiaTheme="minorEastAsia" w:hAnsiTheme="minorHAnsi" w:cstheme="minorBidi"/>
            <w:b w:val="0"/>
            <w:noProof/>
            <w:sz w:val="22"/>
            <w:szCs w:val="22"/>
            <w:lang w:eastAsia="en-GB"/>
          </w:rPr>
          <w:tab/>
        </w:r>
        <w:r w:rsidR="00DF1C84" w:rsidRPr="0069432E">
          <w:rPr>
            <w:rStyle w:val="Hyperlink"/>
            <w:noProof/>
          </w:rPr>
          <w:t>RA-SDT resources are configured on the initial BWP</w:t>
        </w:r>
      </w:hyperlink>
    </w:p>
    <w:p w14:paraId="709A30F6" w14:textId="77777777" w:rsidR="00DF1C84" w:rsidRDefault="00B72BBD">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68140" w:history="1">
        <w:r w:rsidR="00DF1C84" w:rsidRPr="0069432E">
          <w:rPr>
            <w:rStyle w:val="Hyperlink"/>
            <w:noProof/>
          </w:rPr>
          <w:t>Proposal 2</w:t>
        </w:r>
        <w:r w:rsidR="00DF1C84">
          <w:rPr>
            <w:rFonts w:asciiTheme="minorHAnsi" w:eastAsiaTheme="minorEastAsia" w:hAnsiTheme="minorHAnsi" w:cstheme="minorBidi"/>
            <w:b w:val="0"/>
            <w:noProof/>
            <w:sz w:val="22"/>
            <w:szCs w:val="22"/>
            <w:lang w:eastAsia="en-GB"/>
          </w:rPr>
          <w:tab/>
        </w:r>
        <w:r w:rsidR="00DF1C84" w:rsidRPr="0069432E">
          <w:rPr>
            <w:rStyle w:val="Hyperlink"/>
            <w:noProof/>
          </w:rPr>
          <w:t>It is up to the gNB to avoid RNTI collisions if the legacy and new CSSs are overlapped</w:t>
        </w:r>
      </w:hyperlink>
    </w:p>
    <w:p w14:paraId="66553BF6" w14:textId="77777777" w:rsidR="00DF1C84" w:rsidRDefault="00B72BBD">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68141" w:history="1">
        <w:r w:rsidR="00DF1C84" w:rsidRPr="0069432E">
          <w:rPr>
            <w:rStyle w:val="Hyperlink"/>
            <w:noProof/>
          </w:rPr>
          <w:t>Proposal 3</w:t>
        </w:r>
        <w:r w:rsidR="00DF1C84">
          <w:rPr>
            <w:rFonts w:asciiTheme="minorHAnsi" w:eastAsiaTheme="minorEastAsia" w:hAnsiTheme="minorHAnsi" w:cstheme="minorBidi"/>
            <w:b w:val="0"/>
            <w:noProof/>
            <w:sz w:val="22"/>
            <w:szCs w:val="22"/>
            <w:lang w:eastAsia="en-GB"/>
          </w:rPr>
          <w:tab/>
        </w:r>
        <w:r w:rsidR="00DF1C84" w:rsidRPr="0069432E">
          <w:rPr>
            <w:rStyle w:val="Hyperlink"/>
            <w:noProof/>
          </w:rPr>
          <w:t>Contention Resolution ID is sent (4-step RACH) in a DL transmission immediately after Msg3 (this transmission, differently from the legacy Msg4 will not contain DL RRC messages), or (2-step RACH) in MsgB.</w:t>
        </w:r>
      </w:hyperlink>
    </w:p>
    <w:p w14:paraId="6EEA2A1A" w14:textId="77777777" w:rsidR="00DF1C84" w:rsidRDefault="00B72BBD">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68142" w:history="1">
        <w:r w:rsidR="00DF1C84" w:rsidRPr="0069432E">
          <w:rPr>
            <w:rStyle w:val="Hyperlink"/>
            <w:noProof/>
          </w:rPr>
          <w:t>Proposal 4</w:t>
        </w:r>
        <w:r w:rsidR="00DF1C84">
          <w:rPr>
            <w:rFonts w:asciiTheme="minorHAnsi" w:eastAsiaTheme="minorEastAsia" w:hAnsiTheme="minorHAnsi" w:cstheme="minorBidi"/>
            <w:b w:val="0"/>
            <w:noProof/>
            <w:sz w:val="22"/>
            <w:szCs w:val="22"/>
            <w:lang w:eastAsia="en-GB"/>
          </w:rPr>
          <w:tab/>
        </w:r>
        <w:r w:rsidR="00DF1C84" w:rsidRPr="0069432E">
          <w:rPr>
            <w:rStyle w:val="Hyperlink"/>
            <w:noProof/>
          </w:rPr>
          <w:t>Postpone further detailed agreements on SDT RACH configuration until a course of action is agreed jointly with the other interested WIs</w:t>
        </w:r>
      </w:hyperlink>
    </w:p>
    <w:p w14:paraId="285E0A34" w14:textId="77777777" w:rsidR="00DF1C84" w:rsidRDefault="00B72BBD">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68143" w:history="1">
        <w:r w:rsidR="00DF1C84" w:rsidRPr="0069432E">
          <w:rPr>
            <w:rStyle w:val="Hyperlink"/>
            <w:noProof/>
          </w:rPr>
          <w:t>Proposal 5</w:t>
        </w:r>
        <w:r w:rsidR="00DF1C84">
          <w:rPr>
            <w:rFonts w:asciiTheme="minorHAnsi" w:eastAsiaTheme="minorEastAsia" w:hAnsiTheme="minorHAnsi" w:cstheme="minorBidi"/>
            <w:b w:val="0"/>
            <w:noProof/>
            <w:sz w:val="22"/>
            <w:szCs w:val="22"/>
            <w:lang w:eastAsia="en-GB"/>
          </w:rPr>
          <w:tab/>
        </w:r>
        <w:r w:rsidR="00DF1C84" w:rsidRPr="0069432E">
          <w:rPr>
            <w:rStyle w:val="Hyperlink"/>
            <w:noProof/>
          </w:rPr>
          <w:t>Combination of SDT and 2-step RACH, 4-step RACH, Group B and RedCap should be supported</w:t>
        </w:r>
      </w:hyperlink>
    </w:p>
    <w:p w14:paraId="114CACFF" w14:textId="3ABA2FF4" w:rsidR="00C01F33" w:rsidRPr="003A2B6B" w:rsidRDefault="006E1C82" w:rsidP="00CD1936">
      <w:pPr>
        <w:pStyle w:val="BodyText"/>
      </w:pPr>
      <w:r w:rsidRPr="003A2B6B">
        <w:rPr>
          <w:b/>
          <w:bCs/>
          <w:lang w:val="en-US"/>
        </w:rPr>
        <w:fldChar w:fldCharType="end"/>
      </w:r>
      <w:bookmarkEnd w:id="69"/>
      <w:r w:rsidRPr="003A2B6B">
        <w:rPr>
          <w:b/>
          <w:bCs/>
        </w:rPr>
        <w:t xml:space="preserve"> </w:t>
      </w:r>
    </w:p>
    <w:p w14:paraId="45955E2C" w14:textId="77777777" w:rsidR="00F507D1" w:rsidRPr="003A2B6B" w:rsidRDefault="00F507D1" w:rsidP="00CE0424">
      <w:pPr>
        <w:pStyle w:val="Heading1"/>
      </w:pPr>
      <w:bookmarkStart w:id="70" w:name="_In-sequence_SDU_delivery"/>
      <w:bookmarkEnd w:id="70"/>
      <w:r w:rsidRPr="003A2B6B">
        <w:t>References</w:t>
      </w:r>
    </w:p>
    <w:bookmarkStart w:id="71" w:name="_Ref61511911"/>
    <w:bookmarkStart w:id="72" w:name="_Ref174151459"/>
    <w:bookmarkStart w:id="73" w:name="_Ref189809556"/>
    <w:p w14:paraId="164ED112" w14:textId="1336BF97" w:rsidR="007636C1" w:rsidRPr="003A2B6B" w:rsidRDefault="007636C1" w:rsidP="007636C1">
      <w:pPr>
        <w:pStyle w:val="Reference"/>
      </w:pPr>
      <w:r w:rsidRPr="003A2B6B">
        <w:fldChar w:fldCharType="begin"/>
      </w:r>
      <w:r w:rsidRPr="003A2B6B">
        <w:instrText xml:space="preserve"> HYPERLINK "https://www.3gpp.org/ftp/TSG_RAN/TSG_RAN/TSGR_90e/Docs/RP-202501.zip" </w:instrText>
      </w:r>
      <w:r w:rsidRPr="003A2B6B">
        <w:fldChar w:fldCharType="separate"/>
      </w:r>
      <w:r w:rsidRPr="003A2B6B">
        <w:rPr>
          <w:rStyle w:val="Hyperlink"/>
        </w:rPr>
        <w:t>RP-202501</w:t>
      </w:r>
      <w:r w:rsidRPr="003A2B6B">
        <w:fldChar w:fldCharType="end"/>
      </w:r>
      <w:r w:rsidRPr="003A2B6B">
        <w:t>, Status Report NR-</w:t>
      </w:r>
      <w:proofErr w:type="spellStart"/>
      <w:r w:rsidRPr="003A2B6B">
        <w:t>SmallData</w:t>
      </w:r>
      <w:proofErr w:type="spellEnd"/>
      <w:r w:rsidRPr="003A2B6B">
        <w:t>, RAN2 ZTE, RP#90-e, December 2020</w:t>
      </w:r>
      <w:bookmarkEnd w:id="71"/>
    </w:p>
    <w:bookmarkStart w:id="74" w:name="_Ref67063039"/>
    <w:p w14:paraId="78B7E067" w14:textId="46B7A4D2" w:rsidR="00B624A6" w:rsidRDefault="00B624A6" w:rsidP="00B624A6">
      <w:pPr>
        <w:pStyle w:val="Reference"/>
      </w:pPr>
      <w:r w:rsidRPr="003A2B6B">
        <w:fldChar w:fldCharType="begin"/>
      </w:r>
      <w:r w:rsidRPr="003A2B6B">
        <w:instrText>HYPERLINK "https://www.3gpp.org/ftp/tsg_ran/TSG_RAN/TSGR_91e/Docs/RP-210330.zip"</w:instrText>
      </w:r>
      <w:r w:rsidRPr="003A2B6B">
        <w:fldChar w:fldCharType="separate"/>
      </w:r>
      <w:r w:rsidRPr="003A2B6B">
        <w:rPr>
          <w:rStyle w:val="Hyperlink"/>
        </w:rPr>
        <w:t>RP-210330</w:t>
      </w:r>
      <w:r w:rsidRPr="003A2B6B">
        <w:fldChar w:fldCharType="end"/>
      </w:r>
      <w:r w:rsidRPr="003A2B6B">
        <w:t>, Status Report NR-</w:t>
      </w:r>
      <w:proofErr w:type="spellStart"/>
      <w:r w:rsidRPr="003A2B6B">
        <w:t>SmallData</w:t>
      </w:r>
      <w:proofErr w:type="spellEnd"/>
      <w:r w:rsidRPr="003A2B6B">
        <w:t>, RAN2 ZTE, RP#91-e, March 2021</w:t>
      </w:r>
      <w:bookmarkEnd w:id="74"/>
    </w:p>
    <w:bookmarkStart w:id="75" w:name="_Ref75161746"/>
    <w:p w14:paraId="6DA49A59" w14:textId="030AAEC1" w:rsidR="0011651B" w:rsidRPr="003A2B6B" w:rsidRDefault="0011651B" w:rsidP="00B624A6">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w:t>
      </w:r>
      <w:proofErr w:type="spellStart"/>
      <w:r>
        <w:t>SmallData</w:t>
      </w:r>
      <w:proofErr w:type="spellEnd"/>
      <w:r>
        <w:t>, RAN2 ZTE, RP#92-e, June 2021</w:t>
      </w:r>
      <w:bookmarkEnd w:id="75"/>
    </w:p>
    <w:bookmarkStart w:id="76" w:name="_Ref67064002"/>
    <w:bookmarkStart w:id="77" w:name="_Ref67489011"/>
    <w:p w14:paraId="7646E46B" w14:textId="2202E9B0" w:rsidR="0060154A" w:rsidRDefault="00CD1936" w:rsidP="00DF1C84">
      <w:pPr>
        <w:pStyle w:val="Reference"/>
      </w:pPr>
      <w:r w:rsidRPr="003A2B6B">
        <w:fldChar w:fldCharType="begin"/>
      </w:r>
      <w:r w:rsidRPr="003A2B6B">
        <w:instrText xml:space="preserve"> HYPERLINK "https://www.3gpp.org/ftp/TSG_RAN/WG2_RL2/TSGR2_112-e/Docs/R2-2009965.zip" </w:instrText>
      </w:r>
      <w:r w:rsidRPr="003A2B6B">
        <w:fldChar w:fldCharType="separate"/>
      </w:r>
      <w:r w:rsidR="00A33E59" w:rsidRPr="003A2B6B">
        <w:rPr>
          <w:rStyle w:val="Hyperlink"/>
        </w:rPr>
        <w:t>R2</w:t>
      </w:r>
      <w:r w:rsidRPr="003A2B6B">
        <w:rPr>
          <w:rStyle w:val="Hyperlink"/>
        </w:rPr>
        <w:t>-2009965</w:t>
      </w:r>
      <w:r w:rsidRPr="003A2B6B">
        <w:fldChar w:fldCharType="end"/>
      </w:r>
      <w:r w:rsidRPr="003A2B6B">
        <w:t xml:space="preserve">, </w:t>
      </w:r>
      <w:bookmarkEnd w:id="76"/>
      <w:r w:rsidRPr="003A2B6B">
        <w:t>Subsequent transmissions after initial SDT, Ericsson, RAN2#112e, November 2020</w:t>
      </w:r>
      <w:bookmarkEnd w:id="77"/>
    </w:p>
    <w:bookmarkStart w:id="78" w:name="_Ref71028233"/>
    <w:p w14:paraId="122CACAD" w14:textId="1DC6519B" w:rsidR="003A7EF3" w:rsidRPr="00CE0424" w:rsidRDefault="00342016" w:rsidP="00DA35C6">
      <w:pPr>
        <w:pStyle w:val="Reference"/>
      </w:pPr>
      <w:r w:rsidRPr="00A01B71">
        <w:fldChar w:fldCharType="begin"/>
      </w:r>
      <w:r w:rsidRPr="00A01B71">
        <w:instrText xml:space="preserve"> HYPERLINK "https://www.3gpp.org/ftp/TSG_RAN/WG2_RL2/TSGR2_114-e/Docs/R2-2104933.zip" </w:instrText>
      </w:r>
      <w:r w:rsidRPr="00A01B71">
        <w:fldChar w:fldCharType="separate"/>
      </w:r>
      <w:r w:rsidRPr="00A01B71">
        <w:rPr>
          <w:rStyle w:val="Hyperlink"/>
        </w:rPr>
        <w:t>R2-210</w:t>
      </w:r>
      <w:r w:rsidR="004139DA">
        <w:rPr>
          <w:rStyle w:val="Hyperlink"/>
        </w:rPr>
        <w:t>xxxx</w:t>
      </w:r>
      <w:r w:rsidRPr="00A01B71">
        <w:fldChar w:fldCharType="end"/>
      </w:r>
      <w:r w:rsidR="00AE1DAD">
        <w:t>, RACH partitioning for Rel-17 features, Ericsson, RAN2#11</w:t>
      </w:r>
      <w:r w:rsidR="004139DA">
        <w:t>5</w:t>
      </w:r>
      <w:r w:rsidR="00AE1DAD">
        <w:t>-e,</w:t>
      </w:r>
      <w:r w:rsidR="004139DA">
        <w:t xml:space="preserve"> August</w:t>
      </w:r>
      <w:r w:rsidR="00AE1DAD">
        <w:t xml:space="preserve"> 2021</w:t>
      </w:r>
      <w:bookmarkEnd w:id="72"/>
      <w:bookmarkEnd w:id="73"/>
      <w:bookmarkEnd w:id="78"/>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CEEB6" w14:textId="77777777" w:rsidR="00522AC2" w:rsidRDefault="00522AC2">
      <w:r>
        <w:separator/>
      </w:r>
    </w:p>
  </w:endnote>
  <w:endnote w:type="continuationSeparator" w:id="0">
    <w:p w14:paraId="3BE94009" w14:textId="77777777" w:rsidR="00522AC2" w:rsidRDefault="00522AC2">
      <w:r>
        <w:continuationSeparator/>
      </w:r>
    </w:p>
  </w:endnote>
  <w:endnote w:type="continuationNotice" w:id="1">
    <w:p w14:paraId="05B972AE" w14:textId="77777777" w:rsidR="00522AC2" w:rsidRDefault="00522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522AC2" w:rsidRDefault="00522A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D4957" w14:textId="77777777" w:rsidR="00522AC2" w:rsidRDefault="00522AC2">
      <w:r>
        <w:separator/>
      </w:r>
    </w:p>
  </w:footnote>
  <w:footnote w:type="continuationSeparator" w:id="0">
    <w:p w14:paraId="0168F9A3" w14:textId="77777777" w:rsidR="00522AC2" w:rsidRDefault="00522AC2">
      <w:r>
        <w:continuationSeparator/>
      </w:r>
    </w:p>
  </w:footnote>
  <w:footnote w:type="continuationNotice" w:id="1">
    <w:p w14:paraId="5E8D22FD" w14:textId="77777777" w:rsidR="00522AC2" w:rsidRDefault="00522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522AC2" w:rsidRDefault="00522A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B775F3"/>
    <w:multiLevelType w:val="hybridMultilevel"/>
    <w:tmpl w:val="8A206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AB3B93"/>
    <w:multiLevelType w:val="hybridMultilevel"/>
    <w:tmpl w:val="1CBCA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A760A"/>
    <w:multiLevelType w:val="hybridMultilevel"/>
    <w:tmpl w:val="3244D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E606FBB"/>
    <w:multiLevelType w:val="hybridMultilevel"/>
    <w:tmpl w:val="6B588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6"/>
  </w:num>
  <w:num w:numId="18">
    <w:abstractNumId w:val="9"/>
  </w:num>
  <w:num w:numId="19">
    <w:abstractNumId w:val="4"/>
  </w:num>
  <w:num w:numId="20">
    <w:abstractNumId w:val="31"/>
  </w:num>
  <w:num w:numId="21">
    <w:abstractNumId w:val="14"/>
  </w:num>
  <w:num w:numId="22">
    <w:abstractNumId w:val="29"/>
  </w:num>
  <w:num w:numId="23">
    <w:abstractNumId w:val="32"/>
  </w:num>
  <w:num w:numId="24">
    <w:abstractNumId w:val="30"/>
  </w:num>
  <w:num w:numId="25">
    <w:abstractNumId w:val="26"/>
  </w:num>
  <w:num w:numId="26">
    <w:abstractNumId w:val="5"/>
  </w:num>
  <w:num w:numId="27">
    <w:abstractNumId w:val="27"/>
  </w:num>
  <w:num w:numId="28">
    <w:abstractNumId w:val="7"/>
  </w:num>
  <w:num w:numId="29">
    <w:abstractNumId w:val="19"/>
  </w:num>
  <w:num w:numId="30">
    <w:abstractNumId w:val="7"/>
  </w:num>
  <w:num w:numId="31">
    <w:abstractNumId w:val="28"/>
  </w:num>
  <w:num w:numId="32">
    <w:abstractNumId w:val="33"/>
  </w:num>
  <w:num w:numId="33">
    <w:abstractNumId w:val="8"/>
  </w:num>
  <w:num w:numId="34">
    <w:abstractNumId w:val="11"/>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064E"/>
    <w:rsid w:val="00011B28"/>
    <w:rsid w:val="00015D15"/>
    <w:rsid w:val="0002564D"/>
    <w:rsid w:val="00025ECA"/>
    <w:rsid w:val="000318EC"/>
    <w:rsid w:val="000325B8"/>
    <w:rsid w:val="00033C46"/>
    <w:rsid w:val="00034C15"/>
    <w:rsid w:val="00036BA1"/>
    <w:rsid w:val="000422E2"/>
    <w:rsid w:val="00042F22"/>
    <w:rsid w:val="000444EF"/>
    <w:rsid w:val="00052A07"/>
    <w:rsid w:val="000534E3"/>
    <w:rsid w:val="0005606A"/>
    <w:rsid w:val="00057117"/>
    <w:rsid w:val="000616E7"/>
    <w:rsid w:val="0006487E"/>
    <w:rsid w:val="000657F6"/>
    <w:rsid w:val="00065E1A"/>
    <w:rsid w:val="00072A2C"/>
    <w:rsid w:val="0007314C"/>
    <w:rsid w:val="00074F2C"/>
    <w:rsid w:val="00077E5F"/>
    <w:rsid w:val="0008036A"/>
    <w:rsid w:val="00081AE6"/>
    <w:rsid w:val="000855EB"/>
    <w:rsid w:val="00085B52"/>
    <w:rsid w:val="000866F2"/>
    <w:rsid w:val="0009009F"/>
    <w:rsid w:val="000909C2"/>
    <w:rsid w:val="00091557"/>
    <w:rsid w:val="000924C1"/>
    <w:rsid w:val="000924F0"/>
    <w:rsid w:val="00093474"/>
    <w:rsid w:val="0009510F"/>
    <w:rsid w:val="000978F2"/>
    <w:rsid w:val="000A1B7B"/>
    <w:rsid w:val="000A56F2"/>
    <w:rsid w:val="000B1F1B"/>
    <w:rsid w:val="000B2719"/>
    <w:rsid w:val="000B3A8F"/>
    <w:rsid w:val="000B4AB9"/>
    <w:rsid w:val="000B58C3"/>
    <w:rsid w:val="000B61E9"/>
    <w:rsid w:val="000B74EA"/>
    <w:rsid w:val="000C165A"/>
    <w:rsid w:val="000C2E19"/>
    <w:rsid w:val="000D0D07"/>
    <w:rsid w:val="000D4797"/>
    <w:rsid w:val="000D6A44"/>
    <w:rsid w:val="000D775E"/>
    <w:rsid w:val="000E0527"/>
    <w:rsid w:val="000E1E92"/>
    <w:rsid w:val="000E323C"/>
    <w:rsid w:val="000E40FA"/>
    <w:rsid w:val="000F06D6"/>
    <w:rsid w:val="000F0EB1"/>
    <w:rsid w:val="000F1106"/>
    <w:rsid w:val="000F3BE9"/>
    <w:rsid w:val="000F3F6C"/>
    <w:rsid w:val="000F615F"/>
    <w:rsid w:val="000F6DF3"/>
    <w:rsid w:val="000F730C"/>
    <w:rsid w:val="000F7DA1"/>
    <w:rsid w:val="000F7EAA"/>
    <w:rsid w:val="001005FF"/>
    <w:rsid w:val="001062FB"/>
    <w:rsid w:val="001063E6"/>
    <w:rsid w:val="00110661"/>
    <w:rsid w:val="00110B51"/>
    <w:rsid w:val="00113CF4"/>
    <w:rsid w:val="00114723"/>
    <w:rsid w:val="001153EA"/>
    <w:rsid w:val="00115643"/>
    <w:rsid w:val="0011651B"/>
    <w:rsid w:val="00116765"/>
    <w:rsid w:val="00120E61"/>
    <w:rsid w:val="001219F5"/>
    <w:rsid w:val="00121A20"/>
    <w:rsid w:val="0012377F"/>
    <w:rsid w:val="00124314"/>
    <w:rsid w:val="001244F4"/>
    <w:rsid w:val="00126B4A"/>
    <w:rsid w:val="00132FD0"/>
    <w:rsid w:val="001344C0"/>
    <w:rsid w:val="001346FA"/>
    <w:rsid w:val="00135252"/>
    <w:rsid w:val="00137AB5"/>
    <w:rsid w:val="00137F0B"/>
    <w:rsid w:val="00151E23"/>
    <w:rsid w:val="001526E0"/>
    <w:rsid w:val="001551B5"/>
    <w:rsid w:val="001610BA"/>
    <w:rsid w:val="001659C1"/>
    <w:rsid w:val="001722EC"/>
    <w:rsid w:val="00173A8E"/>
    <w:rsid w:val="0017502C"/>
    <w:rsid w:val="0018143F"/>
    <w:rsid w:val="00181FF8"/>
    <w:rsid w:val="001873FF"/>
    <w:rsid w:val="00190AC1"/>
    <w:rsid w:val="0019341A"/>
    <w:rsid w:val="00197DF9"/>
    <w:rsid w:val="001A1987"/>
    <w:rsid w:val="001A2564"/>
    <w:rsid w:val="001A2B75"/>
    <w:rsid w:val="001A6173"/>
    <w:rsid w:val="001A6CBA"/>
    <w:rsid w:val="001B0D97"/>
    <w:rsid w:val="001B5A5D"/>
    <w:rsid w:val="001C1CE5"/>
    <w:rsid w:val="001C3D2A"/>
    <w:rsid w:val="001C41AB"/>
    <w:rsid w:val="001D1153"/>
    <w:rsid w:val="001D23C4"/>
    <w:rsid w:val="001D51BA"/>
    <w:rsid w:val="001D53E7"/>
    <w:rsid w:val="001D6342"/>
    <w:rsid w:val="001D67E7"/>
    <w:rsid w:val="001D6D53"/>
    <w:rsid w:val="001D71E3"/>
    <w:rsid w:val="001E18CD"/>
    <w:rsid w:val="001E4CF1"/>
    <w:rsid w:val="001E58E2"/>
    <w:rsid w:val="001E7AED"/>
    <w:rsid w:val="001F3916"/>
    <w:rsid w:val="001F54C5"/>
    <w:rsid w:val="001F5693"/>
    <w:rsid w:val="001F6075"/>
    <w:rsid w:val="001F662C"/>
    <w:rsid w:val="001F7074"/>
    <w:rsid w:val="00200490"/>
    <w:rsid w:val="00201F3A"/>
    <w:rsid w:val="0020210E"/>
    <w:rsid w:val="00203F96"/>
    <w:rsid w:val="002069B2"/>
    <w:rsid w:val="00207FA3"/>
    <w:rsid w:val="00214DA8"/>
    <w:rsid w:val="00215423"/>
    <w:rsid w:val="002158FA"/>
    <w:rsid w:val="00216548"/>
    <w:rsid w:val="00220600"/>
    <w:rsid w:val="002224DB"/>
    <w:rsid w:val="00223FCB"/>
    <w:rsid w:val="002252C3"/>
    <w:rsid w:val="00225974"/>
    <w:rsid w:val="00225C54"/>
    <w:rsid w:val="00230765"/>
    <w:rsid w:val="00230D18"/>
    <w:rsid w:val="002319E4"/>
    <w:rsid w:val="00232828"/>
    <w:rsid w:val="00232F8D"/>
    <w:rsid w:val="00235632"/>
    <w:rsid w:val="00235872"/>
    <w:rsid w:val="002370A6"/>
    <w:rsid w:val="00241559"/>
    <w:rsid w:val="002435B3"/>
    <w:rsid w:val="002458EB"/>
    <w:rsid w:val="002500C8"/>
    <w:rsid w:val="002540BB"/>
    <w:rsid w:val="00257381"/>
    <w:rsid w:val="00257543"/>
    <w:rsid w:val="002617E7"/>
    <w:rsid w:val="00264228"/>
    <w:rsid w:val="00264334"/>
    <w:rsid w:val="0026473E"/>
    <w:rsid w:val="00266214"/>
    <w:rsid w:val="00267C83"/>
    <w:rsid w:val="00270A0D"/>
    <w:rsid w:val="0027144F"/>
    <w:rsid w:val="00271813"/>
    <w:rsid w:val="00271F3A"/>
    <w:rsid w:val="00273278"/>
    <w:rsid w:val="002734BF"/>
    <w:rsid w:val="002737F4"/>
    <w:rsid w:val="002805F5"/>
    <w:rsid w:val="00280751"/>
    <w:rsid w:val="0028280A"/>
    <w:rsid w:val="002867C8"/>
    <w:rsid w:val="00286ACD"/>
    <w:rsid w:val="00287838"/>
    <w:rsid w:val="002907B5"/>
    <w:rsid w:val="00292EB7"/>
    <w:rsid w:val="00296227"/>
    <w:rsid w:val="00296F44"/>
    <w:rsid w:val="0029777D"/>
    <w:rsid w:val="002A055E"/>
    <w:rsid w:val="002A1D4E"/>
    <w:rsid w:val="002A248E"/>
    <w:rsid w:val="002A2869"/>
    <w:rsid w:val="002A7A8C"/>
    <w:rsid w:val="002A7FF6"/>
    <w:rsid w:val="002B0930"/>
    <w:rsid w:val="002B24D6"/>
    <w:rsid w:val="002B7B35"/>
    <w:rsid w:val="002C41E6"/>
    <w:rsid w:val="002D071A"/>
    <w:rsid w:val="002D2A38"/>
    <w:rsid w:val="002D34B2"/>
    <w:rsid w:val="002D48B0"/>
    <w:rsid w:val="002D5B37"/>
    <w:rsid w:val="002D7637"/>
    <w:rsid w:val="002E17F2"/>
    <w:rsid w:val="002E7CAE"/>
    <w:rsid w:val="002F14B7"/>
    <w:rsid w:val="002F2771"/>
    <w:rsid w:val="002F37A9"/>
    <w:rsid w:val="00301CE6"/>
    <w:rsid w:val="0030256B"/>
    <w:rsid w:val="00302B22"/>
    <w:rsid w:val="0030501F"/>
    <w:rsid w:val="0030768E"/>
    <w:rsid w:val="00307BA1"/>
    <w:rsid w:val="00311702"/>
    <w:rsid w:val="00311E82"/>
    <w:rsid w:val="00312FEF"/>
    <w:rsid w:val="00313FD6"/>
    <w:rsid w:val="003143BD"/>
    <w:rsid w:val="00315363"/>
    <w:rsid w:val="0031789B"/>
    <w:rsid w:val="003203ED"/>
    <w:rsid w:val="00322C9F"/>
    <w:rsid w:val="00324D23"/>
    <w:rsid w:val="00331751"/>
    <w:rsid w:val="0033301C"/>
    <w:rsid w:val="00334579"/>
    <w:rsid w:val="003345AD"/>
    <w:rsid w:val="00335858"/>
    <w:rsid w:val="00336BDA"/>
    <w:rsid w:val="00342016"/>
    <w:rsid w:val="00342BD7"/>
    <w:rsid w:val="00346DB5"/>
    <w:rsid w:val="003477B1"/>
    <w:rsid w:val="00357380"/>
    <w:rsid w:val="003602D9"/>
    <w:rsid w:val="003604CE"/>
    <w:rsid w:val="00361196"/>
    <w:rsid w:val="0036263B"/>
    <w:rsid w:val="00370E47"/>
    <w:rsid w:val="003742AC"/>
    <w:rsid w:val="00377CE1"/>
    <w:rsid w:val="00381A45"/>
    <w:rsid w:val="003845EC"/>
    <w:rsid w:val="00385BF0"/>
    <w:rsid w:val="0039090E"/>
    <w:rsid w:val="003939FF"/>
    <w:rsid w:val="003A2223"/>
    <w:rsid w:val="003A2A0F"/>
    <w:rsid w:val="003A2B6B"/>
    <w:rsid w:val="003A45A1"/>
    <w:rsid w:val="003A4FA9"/>
    <w:rsid w:val="003A5B0A"/>
    <w:rsid w:val="003A6BAC"/>
    <w:rsid w:val="003A70A4"/>
    <w:rsid w:val="003A7EF3"/>
    <w:rsid w:val="003B159C"/>
    <w:rsid w:val="003B369F"/>
    <w:rsid w:val="003B36A3"/>
    <w:rsid w:val="003B503D"/>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292"/>
    <w:rsid w:val="003F6BBE"/>
    <w:rsid w:val="004000E8"/>
    <w:rsid w:val="004008EB"/>
    <w:rsid w:val="00402E2B"/>
    <w:rsid w:val="0040512B"/>
    <w:rsid w:val="00405CA5"/>
    <w:rsid w:val="00407CD3"/>
    <w:rsid w:val="00410134"/>
    <w:rsid w:val="00410B72"/>
    <w:rsid w:val="00410F18"/>
    <w:rsid w:val="0041263E"/>
    <w:rsid w:val="004139DA"/>
    <w:rsid w:val="00413AAC"/>
    <w:rsid w:val="00413E92"/>
    <w:rsid w:val="0041797B"/>
    <w:rsid w:val="00421105"/>
    <w:rsid w:val="00422AA4"/>
    <w:rsid w:val="004242F4"/>
    <w:rsid w:val="00425FAD"/>
    <w:rsid w:val="00427248"/>
    <w:rsid w:val="004363DA"/>
    <w:rsid w:val="00437447"/>
    <w:rsid w:val="00441A92"/>
    <w:rsid w:val="004431DC"/>
    <w:rsid w:val="00444F56"/>
    <w:rsid w:val="00445945"/>
    <w:rsid w:val="00446488"/>
    <w:rsid w:val="004517AA"/>
    <w:rsid w:val="00452CAC"/>
    <w:rsid w:val="00457565"/>
    <w:rsid w:val="00457B71"/>
    <w:rsid w:val="00463960"/>
    <w:rsid w:val="0046541F"/>
    <w:rsid w:val="004669E2"/>
    <w:rsid w:val="00470C31"/>
    <w:rsid w:val="00471DE0"/>
    <w:rsid w:val="004734D0"/>
    <w:rsid w:val="0047556B"/>
    <w:rsid w:val="00476E19"/>
    <w:rsid w:val="00477768"/>
    <w:rsid w:val="00485FE1"/>
    <w:rsid w:val="00490712"/>
    <w:rsid w:val="00492BC5"/>
    <w:rsid w:val="00493869"/>
    <w:rsid w:val="004964F1"/>
    <w:rsid w:val="004A16BC"/>
    <w:rsid w:val="004A2B94"/>
    <w:rsid w:val="004A66D7"/>
    <w:rsid w:val="004B6F6A"/>
    <w:rsid w:val="004B7C0C"/>
    <w:rsid w:val="004C1956"/>
    <w:rsid w:val="004C3898"/>
    <w:rsid w:val="004D36B1"/>
    <w:rsid w:val="004D5406"/>
    <w:rsid w:val="004D7EBD"/>
    <w:rsid w:val="004E1784"/>
    <w:rsid w:val="004E2680"/>
    <w:rsid w:val="004E28F9"/>
    <w:rsid w:val="004E462E"/>
    <w:rsid w:val="004E4CC9"/>
    <w:rsid w:val="004E56DC"/>
    <w:rsid w:val="004E76F4"/>
    <w:rsid w:val="004F0B4E"/>
    <w:rsid w:val="004F0B6C"/>
    <w:rsid w:val="004F2078"/>
    <w:rsid w:val="004F4DA3"/>
    <w:rsid w:val="004F73FD"/>
    <w:rsid w:val="00500D52"/>
    <w:rsid w:val="00506557"/>
    <w:rsid w:val="0050677A"/>
    <w:rsid w:val="005108D8"/>
    <w:rsid w:val="00511220"/>
    <w:rsid w:val="005116F9"/>
    <w:rsid w:val="005153A7"/>
    <w:rsid w:val="005219CF"/>
    <w:rsid w:val="00522AC2"/>
    <w:rsid w:val="00534B59"/>
    <w:rsid w:val="00536759"/>
    <w:rsid w:val="00537C62"/>
    <w:rsid w:val="00546970"/>
    <w:rsid w:val="00554E19"/>
    <w:rsid w:val="0056121F"/>
    <w:rsid w:val="005640C9"/>
    <w:rsid w:val="00572505"/>
    <w:rsid w:val="00582809"/>
    <w:rsid w:val="005839A0"/>
    <w:rsid w:val="0058798C"/>
    <w:rsid w:val="005900FA"/>
    <w:rsid w:val="005935A4"/>
    <w:rsid w:val="005948C2"/>
    <w:rsid w:val="00595DCA"/>
    <w:rsid w:val="0059779B"/>
    <w:rsid w:val="005A209A"/>
    <w:rsid w:val="005A662D"/>
    <w:rsid w:val="005B1409"/>
    <w:rsid w:val="005B35D7"/>
    <w:rsid w:val="005B392A"/>
    <w:rsid w:val="005B3AA3"/>
    <w:rsid w:val="005B6F83"/>
    <w:rsid w:val="005C526F"/>
    <w:rsid w:val="005C74FB"/>
    <w:rsid w:val="005D1602"/>
    <w:rsid w:val="005E385F"/>
    <w:rsid w:val="005E4595"/>
    <w:rsid w:val="005E5B81"/>
    <w:rsid w:val="005F2CB1"/>
    <w:rsid w:val="005F3025"/>
    <w:rsid w:val="005F5BE7"/>
    <w:rsid w:val="005F618C"/>
    <w:rsid w:val="005F70BD"/>
    <w:rsid w:val="0060154A"/>
    <w:rsid w:val="0060283C"/>
    <w:rsid w:val="006029B5"/>
    <w:rsid w:val="006043E3"/>
    <w:rsid w:val="00604F14"/>
    <w:rsid w:val="006053B5"/>
    <w:rsid w:val="00610BA5"/>
    <w:rsid w:val="00611B83"/>
    <w:rsid w:val="00613257"/>
    <w:rsid w:val="006148EE"/>
    <w:rsid w:val="00620A71"/>
    <w:rsid w:val="00620D80"/>
    <w:rsid w:val="006234A6"/>
    <w:rsid w:val="00630001"/>
    <w:rsid w:val="00630873"/>
    <w:rsid w:val="006311B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50AB9"/>
    <w:rsid w:val="00655733"/>
    <w:rsid w:val="00655ACD"/>
    <w:rsid w:val="00656A92"/>
    <w:rsid w:val="00656CD0"/>
    <w:rsid w:val="00656DDE"/>
    <w:rsid w:val="0066011D"/>
    <w:rsid w:val="006601F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A9C"/>
    <w:rsid w:val="006928E8"/>
    <w:rsid w:val="00695AF5"/>
    <w:rsid w:val="00695FC2"/>
    <w:rsid w:val="00696949"/>
    <w:rsid w:val="00697052"/>
    <w:rsid w:val="006A1B80"/>
    <w:rsid w:val="006A46FB"/>
    <w:rsid w:val="006A5E28"/>
    <w:rsid w:val="006A697B"/>
    <w:rsid w:val="006A7AFF"/>
    <w:rsid w:val="006B04AF"/>
    <w:rsid w:val="006B1816"/>
    <w:rsid w:val="006B2099"/>
    <w:rsid w:val="006B4E23"/>
    <w:rsid w:val="006B50CF"/>
    <w:rsid w:val="006B7E8D"/>
    <w:rsid w:val="006C03B8"/>
    <w:rsid w:val="006C397F"/>
    <w:rsid w:val="006C5EC9"/>
    <w:rsid w:val="006C6059"/>
    <w:rsid w:val="006C7522"/>
    <w:rsid w:val="006D6F08"/>
    <w:rsid w:val="006E062C"/>
    <w:rsid w:val="006E1C82"/>
    <w:rsid w:val="006E28B7"/>
    <w:rsid w:val="006E2A9B"/>
    <w:rsid w:val="006E3310"/>
    <w:rsid w:val="006E4E39"/>
    <w:rsid w:val="006E565E"/>
    <w:rsid w:val="006E673D"/>
    <w:rsid w:val="006E77B5"/>
    <w:rsid w:val="006E7D3B"/>
    <w:rsid w:val="006F1B70"/>
    <w:rsid w:val="006F341D"/>
    <w:rsid w:val="006F3CDE"/>
    <w:rsid w:val="006F58D4"/>
    <w:rsid w:val="006F6582"/>
    <w:rsid w:val="007017A0"/>
    <w:rsid w:val="0070346E"/>
    <w:rsid w:val="00704EDB"/>
    <w:rsid w:val="00706101"/>
    <w:rsid w:val="00707072"/>
    <w:rsid w:val="00707D61"/>
    <w:rsid w:val="00712287"/>
    <w:rsid w:val="00712772"/>
    <w:rsid w:val="007148D3"/>
    <w:rsid w:val="00715B9A"/>
    <w:rsid w:val="0072117E"/>
    <w:rsid w:val="007257D0"/>
    <w:rsid w:val="00726EA6"/>
    <w:rsid w:val="00727208"/>
    <w:rsid w:val="00727680"/>
    <w:rsid w:val="007348B1"/>
    <w:rsid w:val="007362A6"/>
    <w:rsid w:val="00736D7D"/>
    <w:rsid w:val="00740E58"/>
    <w:rsid w:val="007411FE"/>
    <w:rsid w:val="007445A0"/>
    <w:rsid w:val="0074524B"/>
    <w:rsid w:val="00747D8B"/>
    <w:rsid w:val="00751228"/>
    <w:rsid w:val="00756B25"/>
    <w:rsid w:val="00756FBD"/>
    <w:rsid w:val="007571E1"/>
    <w:rsid w:val="00757A16"/>
    <w:rsid w:val="00757B80"/>
    <w:rsid w:val="007604B2"/>
    <w:rsid w:val="00762487"/>
    <w:rsid w:val="007636C1"/>
    <w:rsid w:val="00765281"/>
    <w:rsid w:val="00766BAD"/>
    <w:rsid w:val="007729A2"/>
    <w:rsid w:val="007755F2"/>
    <w:rsid w:val="00776971"/>
    <w:rsid w:val="00780A80"/>
    <w:rsid w:val="0078177E"/>
    <w:rsid w:val="0078304C"/>
    <w:rsid w:val="007833AD"/>
    <w:rsid w:val="00783673"/>
    <w:rsid w:val="00785490"/>
    <w:rsid w:val="00791415"/>
    <w:rsid w:val="007925EA"/>
    <w:rsid w:val="00793CD8"/>
    <w:rsid w:val="00795C92"/>
    <w:rsid w:val="00796231"/>
    <w:rsid w:val="007A0D56"/>
    <w:rsid w:val="007A1CB3"/>
    <w:rsid w:val="007A29A5"/>
    <w:rsid w:val="007A306F"/>
    <w:rsid w:val="007A43A6"/>
    <w:rsid w:val="007A58A6"/>
    <w:rsid w:val="007B1011"/>
    <w:rsid w:val="007B1209"/>
    <w:rsid w:val="007B3D2D"/>
    <w:rsid w:val="007B50AE"/>
    <w:rsid w:val="007B51DF"/>
    <w:rsid w:val="007C05DD"/>
    <w:rsid w:val="007C3D18"/>
    <w:rsid w:val="007C4BC2"/>
    <w:rsid w:val="007C60BF"/>
    <w:rsid w:val="007C6A07"/>
    <w:rsid w:val="007C75A1"/>
    <w:rsid w:val="007C77A5"/>
    <w:rsid w:val="007D04E5"/>
    <w:rsid w:val="007D4AD2"/>
    <w:rsid w:val="007D5901"/>
    <w:rsid w:val="007D6505"/>
    <w:rsid w:val="007D7526"/>
    <w:rsid w:val="007E4610"/>
    <w:rsid w:val="007E4715"/>
    <w:rsid w:val="007E505B"/>
    <w:rsid w:val="007E7091"/>
    <w:rsid w:val="00803FAE"/>
    <w:rsid w:val="008057F7"/>
    <w:rsid w:val="0080605F"/>
    <w:rsid w:val="00807786"/>
    <w:rsid w:val="00811FCB"/>
    <w:rsid w:val="008158D6"/>
    <w:rsid w:val="00817196"/>
    <w:rsid w:val="008222CD"/>
    <w:rsid w:val="008235DB"/>
    <w:rsid w:val="00824AB4"/>
    <w:rsid w:val="00825C42"/>
    <w:rsid w:val="00825D25"/>
    <w:rsid w:val="00827D6F"/>
    <w:rsid w:val="008376AC"/>
    <w:rsid w:val="0084033E"/>
    <w:rsid w:val="008444E8"/>
    <w:rsid w:val="00844E80"/>
    <w:rsid w:val="00846FE7"/>
    <w:rsid w:val="00856911"/>
    <w:rsid w:val="00857A30"/>
    <w:rsid w:val="0086103D"/>
    <w:rsid w:val="008677FD"/>
    <w:rsid w:val="008706D4"/>
    <w:rsid w:val="00870F8A"/>
    <w:rsid w:val="008719A4"/>
    <w:rsid w:val="00871D23"/>
    <w:rsid w:val="00874312"/>
    <w:rsid w:val="0087437C"/>
    <w:rsid w:val="00875CD7"/>
    <w:rsid w:val="00876B4D"/>
    <w:rsid w:val="00877F18"/>
    <w:rsid w:val="00883A5B"/>
    <w:rsid w:val="00891434"/>
    <w:rsid w:val="00891DBC"/>
    <w:rsid w:val="0089336E"/>
    <w:rsid w:val="008941E3"/>
    <w:rsid w:val="00894A88"/>
    <w:rsid w:val="00895386"/>
    <w:rsid w:val="0089661D"/>
    <w:rsid w:val="0089744C"/>
    <w:rsid w:val="008A1970"/>
    <w:rsid w:val="008A21FF"/>
    <w:rsid w:val="008A2CE2"/>
    <w:rsid w:val="008A2FCB"/>
    <w:rsid w:val="008A30AC"/>
    <w:rsid w:val="008A44B8"/>
    <w:rsid w:val="008A51A8"/>
    <w:rsid w:val="008A54C7"/>
    <w:rsid w:val="008A704E"/>
    <w:rsid w:val="008A77D8"/>
    <w:rsid w:val="008B0483"/>
    <w:rsid w:val="008B120C"/>
    <w:rsid w:val="008B1320"/>
    <w:rsid w:val="008B51A0"/>
    <w:rsid w:val="008B592A"/>
    <w:rsid w:val="008B7B5C"/>
    <w:rsid w:val="008C0C99"/>
    <w:rsid w:val="008C2017"/>
    <w:rsid w:val="008C4958"/>
    <w:rsid w:val="008C4BAA"/>
    <w:rsid w:val="008C6AE8"/>
    <w:rsid w:val="008C7573"/>
    <w:rsid w:val="008D00A5"/>
    <w:rsid w:val="008D1A69"/>
    <w:rsid w:val="008D34F1"/>
    <w:rsid w:val="008D39D8"/>
    <w:rsid w:val="008D6D1A"/>
    <w:rsid w:val="008E065E"/>
    <w:rsid w:val="008E0927"/>
    <w:rsid w:val="008E1909"/>
    <w:rsid w:val="008E38AD"/>
    <w:rsid w:val="008F1EAB"/>
    <w:rsid w:val="008F33DC"/>
    <w:rsid w:val="008F477F"/>
    <w:rsid w:val="008F7C36"/>
    <w:rsid w:val="00902350"/>
    <w:rsid w:val="009028A3"/>
    <w:rsid w:val="0090336B"/>
    <w:rsid w:val="009053AA"/>
    <w:rsid w:val="00906939"/>
    <w:rsid w:val="00910B7D"/>
    <w:rsid w:val="00911DFB"/>
    <w:rsid w:val="009139D9"/>
    <w:rsid w:val="00914AD8"/>
    <w:rsid w:val="00915DAE"/>
    <w:rsid w:val="00915E3B"/>
    <w:rsid w:val="00916079"/>
    <w:rsid w:val="00917CE9"/>
    <w:rsid w:val="00920BF2"/>
    <w:rsid w:val="00920D13"/>
    <w:rsid w:val="00922010"/>
    <w:rsid w:val="00931BD9"/>
    <w:rsid w:val="009368F3"/>
    <w:rsid w:val="00941636"/>
    <w:rsid w:val="009420BC"/>
    <w:rsid w:val="00943742"/>
    <w:rsid w:val="00945C05"/>
    <w:rsid w:val="00946945"/>
    <w:rsid w:val="00947713"/>
    <w:rsid w:val="00950DE7"/>
    <w:rsid w:val="0095222B"/>
    <w:rsid w:val="00953920"/>
    <w:rsid w:val="00953BED"/>
    <w:rsid w:val="00953D47"/>
    <w:rsid w:val="00954D63"/>
    <w:rsid w:val="0095681E"/>
    <w:rsid w:val="0095692B"/>
    <w:rsid w:val="009572D4"/>
    <w:rsid w:val="00961921"/>
    <w:rsid w:val="00961DA0"/>
    <w:rsid w:val="009633A6"/>
    <w:rsid w:val="0096430A"/>
    <w:rsid w:val="0096554B"/>
    <w:rsid w:val="009656B6"/>
    <w:rsid w:val="0096584A"/>
    <w:rsid w:val="009710DA"/>
    <w:rsid w:val="00971F08"/>
    <w:rsid w:val="00973914"/>
    <w:rsid w:val="0097603D"/>
    <w:rsid w:val="00976949"/>
    <w:rsid w:val="00980477"/>
    <w:rsid w:val="00984BC0"/>
    <w:rsid w:val="00984EAE"/>
    <w:rsid w:val="00985253"/>
    <w:rsid w:val="009853B3"/>
    <w:rsid w:val="00990630"/>
    <w:rsid w:val="00991761"/>
    <w:rsid w:val="00994DCA"/>
    <w:rsid w:val="009960EC"/>
    <w:rsid w:val="009970DD"/>
    <w:rsid w:val="009A0FBA"/>
    <w:rsid w:val="009A1601"/>
    <w:rsid w:val="009A3BB6"/>
    <w:rsid w:val="009A462D"/>
    <w:rsid w:val="009A5CBA"/>
    <w:rsid w:val="009A75CE"/>
    <w:rsid w:val="009B1F30"/>
    <w:rsid w:val="009B3AC2"/>
    <w:rsid w:val="009B4DF4"/>
    <w:rsid w:val="009B564E"/>
    <w:rsid w:val="009B7E87"/>
    <w:rsid w:val="009C0169"/>
    <w:rsid w:val="009C403E"/>
    <w:rsid w:val="009C589A"/>
    <w:rsid w:val="009D489A"/>
    <w:rsid w:val="009D4FF0"/>
    <w:rsid w:val="009D5AA9"/>
    <w:rsid w:val="009D703C"/>
    <w:rsid w:val="009D718F"/>
    <w:rsid w:val="009E068F"/>
    <w:rsid w:val="009E14E0"/>
    <w:rsid w:val="009E35DB"/>
    <w:rsid w:val="009E47A3"/>
    <w:rsid w:val="009E7E95"/>
    <w:rsid w:val="009F08F3"/>
    <w:rsid w:val="009F164E"/>
    <w:rsid w:val="009F344F"/>
    <w:rsid w:val="00A01B71"/>
    <w:rsid w:val="00A02C46"/>
    <w:rsid w:val="00A031D8"/>
    <w:rsid w:val="00A048A8"/>
    <w:rsid w:val="00A04F49"/>
    <w:rsid w:val="00A106E8"/>
    <w:rsid w:val="00A13E54"/>
    <w:rsid w:val="00A17F63"/>
    <w:rsid w:val="00A200F0"/>
    <w:rsid w:val="00A2193B"/>
    <w:rsid w:val="00A2351A"/>
    <w:rsid w:val="00A264A9"/>
    <w:rsid w:val="00A26DCF"/>
    <w:rsid w:val="00A27785"/>
    <w:rsid w:val="00A30187"/>
    <w:rsid w:val="00A33E59"/>
    <w:rsid w:val="00A3448A"/>
    <w:rsid w:val="00A36297"/>
    <w:rsid w:val="00A41E2B"/>
    <w:rsid w:val="00A45B74"/>
    <w:rsid w:val="00A45EF5"/>
    <w:rsid w:val="00A52E1D"/>
    <w:rsid w:val="00A54D31"/>
    <w:rsid w:val="00A604EF"/>
    <w:rsid w:val="00A61499"/>
    <w:rsid w:val="00A6282D"/>
    <w:rsid w:val="00A62A77"/>
    <w:rsid w:val="00A63483"/>
    <w:rsid w:val="00A657D7"/>
    <w:rsid w:val="00A660AC"/>
    <w:rsid w:val="00A66339"/>
    <w:rsid w:val="00A67E6C"/>
    <w:rsid w:val="00A71B99"/>
    <w:rsid w:val="00A739D0"/>
    <w:rsid w:val="00A761D4"/>
    <w:rsid w:val="00A77EC4"/>
    <w:rsid w:val="00A80CF6"/>
    <w:rsid w:val="00A8499B"/>
    <w:rsid w:val="00A92879"/>
    <w:rsid w:val="00A9442A"/>
    <w:rsid w:val="00AA016F"/>
    <w:rsid w:val="00AA1ED6"/>
    <w:rsid w:val="00AA51D6"/>
    <w:rsid w:val="00AB0BC8"/>
    <w:rsid w:val="00AB1154"/>
    <w:rsid w:val="00AB11CA"/>
    <w:rsid w:val="00AB14D9"/>
    <w:rsid w:val="00AB4AB8"/>
    <w:rsid w:val="00AB655E"/>
    <w:rsid w:val="00AC007F"/>
    <w:rsid w:val="00AC2ECD"/>
    <w:rsid w:val="00AC3119"/>
    <w:rsid w:val="00AC49FB"/>
    <w:rsid w:val="00AC5A10"/>
    <w:rsid w:val="00AD0AA3"/>
    <w:rsid w:val="00AD1745"/>
    <w:rsid w:val="00AD1C47"/>
    <w:rsid w:val="00AD3F94"/>
    <w:rsid w:val="00AD4A5A"/>
    <w:rsid w:val="00AE0489"/>
    <w:rsid w:val="00AE1DAD"/>
    <w:rsid w:val="00AE27AC"/>
    <w:rsid w:val="00AE40E0"/>
    <w:rsid w:val="00AE49B8"/>
    <w:rsid w:val="00AE4DBA"/>
    <w:rsid w:val="00AE4F07"/>
    <w:rsid w:val="00AF0AC6"/>
    <w:rsid w:val="00AF1C5D"/>
    <w:rsid w:val="00AF1D8C"/>
    <w:rsid w:val="00AF42D7"/>
    <w:rsid w:val="00AF5FD0"/>
    <w:rsid w:val="00B006FE"/>
    <w:rsid w:val="00B007CB"/>
    <w:rsid w:val="00B02AA9"/>
    <w:rsid w:val="00B02FA3"/>
    <w:rsid w:val="00B05084"/>
    <w:rsid w:val="00B06266"/>
    <w:rsid w:val="00B07CAD"/>
    <w:rsid w:val="00B111E4"/>
    <w:rsid w:val="00B138F8"/>
    <w:rsid w:val="00B157F9"/>
    <w:rsid w:val="00B164A4"/>
    <w:rsid w:val="00B20256"/>
    <w:rsid w:val="00B20D09"/>
    <w:rsid w:val="00B2763F"/>
    <w:rsid w:val="00B27AAC"/>
    <w:rsid w:val="00B30929"/>
    <w:rsid w:val="00B320FE"/>
    <w:rsid w:val="00B372AA"/>
    <w:rsid w:val="00B40445"/>
    <w:rsid w:val="00B409E0"/>
    <w:rsid w:val="00B41888"/>
    <w:rsid w:val="00B45A52"/>
    <w:rsid w:val="00B46175"/>
    <w:rsid w:val="00B548B7"/>
    <w:rsid w:val="00B576D5"/>
    <w:rsid w:val="00B624A6"/>
    <w:rsid w:val="00B62D23"/>
    <w:rsid w:val="00B664C7"/>
    <w:rsid w:val="00B72BBD"/>
    <w:rsid w:val="00B739F6"/>
    <w:rsid w:val="00B81A6C"/>
    <w:rsid w:val="00B85DE5"/>
    <w:rsid w:val="00B8752E"/>
    <w:rsid w:val="00B90F73"/>
    <w:rsid w:val="00B93B59"/>
    <w:rsid w:val="00B9406A"/>
    <w:rsid w:val="00B9682E"/>
    <w:rsid w:val="00BA2280"/>
    <w:rsid w:val="00BA2A08"/>
    <w:rsid w:val="00BA56D2"/>
    <w:rsid w:val="00BA76E0"/>
    <w:rsid w:val="00BB2A25"/>
    <w:rsid w:val="00BB37FB"/>
    <w:rsid w:val="00BB51E9"/>
    <w:rsid w:val="00BC0FDC"/>
    <w:rsid w:val="00BC3053"/>
    <w:rsid w:val="00BC4D2E"/>
    <w:rsid w:val="00BD0FBA"/>
    <w:rsid w:val="00BD1202"/>
    <w:rsid w:val="00BD48AC"/>
    <w:rsid w:val="00BD5F1A"/>
    <w:rsid w:val="00BE1234"/>
    <w:rsid w:val="00BE2FA6"/>
    <w:rsid w:val="00BE333F"/>
    <w:rsid w:val="00BE7406"/>
    <w:rsid w:val="00BE7603"/>
    <w:rsid w:val="00BF3279"/>
    <w:rsid w:val="00BF45E3"/>
    <w:rsid w:val="00BF6A9D"/>
    <w:rsid w:val="00BF74C7"/>
    <w:rsid w:val="00C015F1"/>
    <w:rsid w:val="00C01F33"/>
    <w:rsid w:val="00C02CC6"/>
    <w:rsid w:val="00C040F7"/>
    <w:rsid w:val="00C044AB"/>
    <w:rsid w:val="00C05706"/>
    <w:rsid w:val="00C07377"/>
    <w:rsid w:val="00C10478"/>
    <w:rsid w:val="00C12107"/>
    <w:rsid w:val="00C14D4B"/>
    <w:rsid w:val="00C14DFD"/>
    <w:rsid w:val="00C14E54"/>
    <w:rsid w:val="00C154BB"/>
    <w:rsid w:val="00C21820"/>
    <w:rsid w:val="00C268E6"/>
    <w:rsid w:val="00C279B5"/>
    <w:rsid w:val="00C27C45"/>
    <w:rsid w:val="00C3719D"/>
    <w:rsid w:val="00C37CB2"/>
    <w:rsid w:val="00C473A5"/>
    <w:rsid w:val="00C54995"/>
    <w:rsid w:val="00C54D41"/>
    <w:rsid w:val="00C570FA"/>
    <w:rsid w:val="00C57312"/>
    <w:rsid w:val="00C60783"/>
    <w:rsid w:val="00C64672"/>
    <w:rsid w:val="00C661DC"/>
    <w:rsid w:val="00C70697"/>
    <w:rsid w:val="00C72093"/>
    <w:rsid w:val="00C72EF4"/>
    <w:rsid w:val="00C73432"/>
    <w:rsid w:val="00C744FE"/>
    <w:rsid w:val="00C75D2F"/>
    <w:rsid w:val="00C767BE"/>
    <w:rsid w:val="00C76E3C"/>
    <w:rsid w:val="00C8068F"/>
    <w:rsid w:val="00C81568"/>
    <w:rsid w:val="00C82870"/>
    <w:rsid w:val="00C8455C"/>
    <w:rsid w:val="00C86883"/>
    <w:rsid w:val="00C8744F"/>
    <w:rsid w:val="00C9027A"/>
    <w:rsid w:val="00C9068E"/>
    <w:rsid w:val="00C91F57"/>
    <w:rsid w:val="00C93814"/>
    <w:rsid w:val="00C93C4B"/>
    <w:rsid w:val="00C944AB"/>
    <w:rsid w:val="00C95B40"/>
    <w:rsid w:val="00CA1ED8"/>
    <w:rsid w:val="00CA5D4C"/>
    <w:rsid w:val="00CB1F63"/>
    <w:rsid w:val="00CB7170"/>
    <w:rsid w:val="00CC040E"/>
    <w:rsid w:val="00CC111F"/>
    <w:rsid w:val="00CC2011"/>
    <w:rsid w:val="00CC3EA0"/>
    <w:rsid w:val="00CC5828"/>
    <w:rsid w:val="00CC7B45"/>
    <w:rsid w:val="00CD1188"/>
    <w:rsid w:val="00CD1936"/>
    <w:rsid w:val="00CD25F7"/>
    <w:rsid w:val="00CD2ED1"/>
    <w:rsid w:val="00CD337B"/>
    <w:rsid w:val="00CD5EA3"/>
    <w:rsid w:val="00CE0424"/>
    <w:rsid w:val="00CE7561"/>
    <w:rsid w:val="00CF05F6"/>
    <w:rsid w:val="00CF1354"/>
    <w:rsid w:val="00CF3B1F"/>
    <w:rsid w:val="00CF3BF6"/>
    <w:rsid w:val="00CF625B"/>
    <w:rsid w:val="00CF687E"/>
    <w:rsid w:val="00D0349B"/>
    <w:rsid w:val="00D04353"/>
    <w:rsid w:val="00D10249"/>
    <w:rsid w:val="00D115C3"/>
    <w:rsid w:val="00D11897"/>
    <w:rsid w:val="00D13135"/>
    <w:rsid w:val="00D13A3F"/>
    <w:rsid w:val="00D13E4E"/>
    <w:rsid w:val="00D239A7"/>
    <w:rsid w:val="00D23F47"/>
    <w:rsid w:val="00D335DD"/>
    <w:rsid w:val="00D36E71"/>
    <w:rsid w:val="00D36EC2"/>
    <w:rsid w:val="00D37D87"/>
    <w:rsid w:val="00D40B33"/>
    <w:rsid w:val="00D4318F"/>
    <w:rsid w:val="00D438BF"/>
    <w:rsid w:val="00D440F8"/>
    <w:rsid w:val="00D50D44"/>
    <w:rsid w:val="00D546FF"/>
    <w:rsid w:val="00D554F2"/>
    <w:rsid w:val="00D55AD5"/>
    <w:rsid w:val="00D576CA"/>
    <w:rsid w:val="00D61AF5"/>
    <w:rsid w:val="00D63BBC"/>
    <w:rsid w:val="00D652B5"/>
    <w:rsid w:val="00D66155"/>
    <w:rsid w:val="00D708B0"/>
    <w:rsid w:val="00D757CA"/>
    <w:rsid w:val="00D77B1D"/>
    <w:rsid w:val="00D8021F"/>
    <w:rsid w:val="00D80383"/>
    <w:rsid w:val="00D80B76"/>
    <w:rsid w:val="00D823C6"/>
    <w:rsid w:val="00D8327F"/>
    <w:rsid w:val="00D842F3"/>
    <w:rsid w:val="00D86CA3"/>
    <w:rsid w:val="00D871CE"/>
    <w:rsid w:val="00D9196D"/>
    <w:rsid w:val="00D92982"/>
    <w:rsid w:val="00D9310F"/>
    <w:rsid w:val="00D93F8D"/>
    <w:rsid w:val="00D95DB5"/>
    <w:rsid w:val="00DA305E"/>
    <w:rsid w:val="00DA35C6"/>
    <w:rsid w:val="00DA5417"/>
    <w:rsid w:val="00DA56E8"/>
    <w:rsid w:val="00DB0A9F"/>
    <w:rsid w:val="00DB377D"/>
    <w:rsid w:val="00DC2D36"/>
    <w:rsid w:val="00DC53EF"/>
    <w:rsid w:val="00DC6189"/>
    <w:rsid w:val="00DD1AF4"/>
    <w:rsid w:val="00DD4C74"/>
    <w:rsid w:val="00DE5608"/>
    <w:rsid w:val="00DE58D0"/>
    <w:rsid w:val="00DE654F"/>
    <w:rsid w:val="00DF0B6E"/>
    <w:rsid w:val="00DF15E0"/>
    <w:rsid w:val="00DF1C84"/>
    <w:rsid w:val="00DF37A0"/>
    <w:rsid w:val="00DF5580"/>
    <w:rsid w:val="00DF72E6"/>
    <w:rsid w:val="00E00489"/>
    <w:rsid w:val="00E055DF"/>
    <w:rsid w:val="00E110E7"/>
    <w:rsid w:val="00E11B20"/>
    <w:rsid w:val="00E11E2E"/>
    <w:rsid w:val="00E13D72"/>
    <w:rsid w:val="00E15BE3"/>
    <w:rsid w:val="00E17FA2"/>
    <w:rsid w:val="00E22330"/>
    <w:rsid w:val="00E253F9"/>
    <w:rsid w:val="00E30B5A"/>
    <w:rsid w:val="00E3123D"/>
    <w:rsid w:val="00E31461"/>
    <w:rsid w:val="00E31D43"/>
    <w:rsid w:val="00E32608"/>
    <w:rsid w:val="00E34188"/>
    <w:rsid w:val="00E34B6E"/>
    <w:rsid w:val="00E35559"/>
    <w:rsid w:val="00E3723A"/>
    <w:rsid w:val="00E37860"/>
    <w:rsid w:val="00E446F1"/>
    <w:rsid w:val="00E46886"/>
    <w:rsid w:val="00E4746B"/>
    <w:rsid w:val="00E47AEF"/>
    <w:rsid w:val="00E52C0A"/>
    <w:rsid w:val="00E53B75"/>
    <w:rsid w:val="00E5462F"/>
    <w:rsid w:val="00E54E3B"/>
    <w:rsid w:val="00E57565"/>
    <w:rsid w:val="00E63838"/>
    <w:rsid w:val="00E64434"/>
    <w:rsid w:val="00E67C51"/>
    <w:rsid w:val="00E70483"/>
    <w:rsid w:val="00E71791"/>
    <w:rsid w:val="00E72804"/>
    <w:rsid w:val="00E72EFC"/>
    <w:rsid w:val="00E758EC"/>
    <w:rsid w:val="00E8234C"/>
    <w:rsid w:val="00E83AA9"/>
    <w:rsid w:val="00E85928"/>
    <w:rsid w:val="00E875BA"/>
    <w:rsid w:val="00E87822"/>
    <w:rsid w:val="00E90395"/>
    <w:rsid w:val="00E90E49"/>
    <w:rsid w:val="00E917F9"/>
    <w:rsid w:val="00E9291C"/>
    <w:rsid w:val="00E93FFE"/>
    <w:rsid w:val="00E94F8A"/>
    <w:rsid w:val="00E979B5"/>
    <w:rsid w:val="00EA2E92"/>
    <w:rsid w:val="00EA7A41"/>
    <w:rsid w:val="00EB057C"/>
    <w:rsid w:val="00EB077B"/>
    <w:rsid w:val="00EB4EA2"/>
    <w:rsid w:val="00EC09DB"/>
    <w:rsid w:val="00EC24D5"/>
    <w:rsid w:val="00EC27C6"/>
    <w:rsid w:val="00EC4207"/>
    <w:rsid w:val="00EC5653"/>
    <w:rsid w:val="00EC71CE"/>
    <w:rsid w:val="00ED0725"/>
    <w:rsid w:val="00ED1006"/>
    <w:rsid w:val="00ED3AAA"/>
    <w:rsid w:val="00EE0A5B"/>
    <w:rsid w:val="00EE1008"/>
    <w:rsid w:val="00EE46BF"/>
    <w:rsid w:val="00EE47A6"/>
    <w:rsid w:val="00EF18FE"/>
    <w:rsid w:val="00EF30D4"/>
    <w:rsid w:val="00EF5787"/>
    <w:rsid w:val="00EF60D0"/>
    <w:rsid w:val="00F0528D"/>
    <w:rsid w:val="00F06C67"/>
    <w:rsid w:val="00F06DFD"/>
    <w:rsid w:val="00F071D1"/>
    <w:rsid w:val="00F07533"/>
    <w:rsid w:val="00F10629"/>
    <w:rsid w:val="00F13BF0"/>
    <w:rsid w:val="00F15FA5"/>
    <w:rsid w:val="00F209B7"/>
    <w:rsid w:val="00F20F5C"/>
    <w:rsid w:val="00F2376F"/>
    <w:rsid w:val="00F243D8"/>
    <w:rsid w:val="00F253D2"/>
    <w:rsid w:val="00F26A75"/>
    <w:rsid w:val="00F30828"/>
    <w:rsid w:val="00F313D6"/>
    <w:rsid w:val="00F40F0C"/>
    <w:rsid w:val="00F4766C"/>
    <w:rsid w:val="00F5060E"/>
    <w:rsid w:val="00F50730"/>
    <w:rsid w:val="00F507D1"/>
    <w:rsid w:val="00F519CE"/>
    <w:rsid w:val="00F51ADA"/>
    <w:rsid w:val="00F60203"/>
    <w:rsid w:val="00F607C5"/>
    <w:rsid w:val="00F60B66"/>
    <w:rsid w:val="00F60DEA"/>
    <w:rsid w:val="00F6302A"/>
    <w:rsid w:val="00F63950"/>
    <w:rsid w:val="00F64C2B"/>
    <w:rsid w:val="00F651BE"/>
    <w:rsid w:val="00F67F53"/>
    <w:rsid w:val="00F703BE"/>
    <w:rsid w:val="00F70BCA"/>
    <w:rsid w:val="00F71F69"/>
    <w:rsid w:val="00F72A02"/>
    <w:rsid w:val="00F72B72"/>
    <w:rsid w:val="00F74BB9"/>
    <w:rsid w:val="00F75582"/>
    <w:rsid w:val="00F76EFA"/>
    <w:rsid w:val="00F804BE"/>
    <w:rsid w:val="00F817CE"/>
    <w:rsid w:val="00F82A56"/>
    <w:rsid w:val="00F8456C"/>
    <w:rsid w:val="00F84F95"/>
    <w:rsid w:val="00F859D8"/>
    <w:rsid w:val="00F868F5"/>
    <w:rsid w:val="00F9056A"/>
    <w:rsid w:val="00F90F8D"/>
    <w:rsid w:val="00F91389"/>
    <w:rsid w:val="00F91DD8"/>
    <w:rsid w:val="00F92782"/>
    <w:rsid w:val="00F93AA9"/>
    <w:rsid w:val="00F950A7"/>
    <w:rsid w:val="00F954ED"/>
    <w:rsid w:val="00F956C6"/>
    <w:rsid w:val="00F96985"/>
    <w:rsid w:val="00F97838"/>
    <w:rsid w:val="00FA2BB3"/>
    <w:rsid w:val="00FB4C80"/>
    <w:rsid w:val="00FB5009"/>
    <w:rsid w:val="00FB6A6A"/>
    <w:rsid w:val="00FC2728"/>
    <w:rsid w:val="00FC581A"/>
    <w:rsid w:val="00FC7429"/>
    <w:rsid w:val="00FD07F6"/>
    <w:rsid w:val="00FD1EC8"/>
    <w:rsid w:val="00FD2861"/>
    <w:rsid w:val="00FD31C8"/>
    <w:rsid w:val="00FD47ED"/>
    <w:rsid w:val="00FD74DB"/>
    <w:rsid w:val="00FD7660"/>
    <w:rsid w:val="00FE0655"/>
    <w:rsid w:val="00FE2365"/>
    <w:rsid w:val="00FE37D7"/>
    <w:rsid w:val="00FE4C7B"/>
    <w:rsid w:val="00FE7336"/>
    <w:rsid w:val="00FE787C"/>
    <w:rsid w:val="00FF20C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5BC52723-AB07-46BC-8691-7B0DBF3A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3A9AC-A3F5-44FB-9DB5-8398C1472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3</Pages>
  <Words>1514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10295</CharactersWithSpaces>
  <SharedDoc>false</SharedDoc>
  <HLinks>
    <vt:vector size="138" baseType="variant">
      <vt:variant>
        <vt:i4>1179757</vt:i4>
      </vt:variant>
      <vt:variant>
        <vt:i4>93</vt:i4>
      </vt:variant>
      <vt:variant>
        <vt:i4>0</vt:i4>
      </vt:variant>
      <vt:variant>
        <vt:i4>5</vt:i4>
      </vt:variant>
      <vt:variant>
        <vt:lpwstr>https://www.3gpp.org/ftp/TSG_RAN/WG2_RL2/TSGR2_114-e/Docs/R2-2104933.zip</vt:lpwstr>
      </vt:variant>
      <vt:variant>
        <vt:lpwstr/>
      </vt:variant>
      <vt:variant>
        <vt:i4>1835115</vt:i4>
      </vt:variant>
      <vt:variant>
        <vt:i4>90</vt:i4>
      </vt:variant>
      <vt:variant>
        <vt:i4>0</vt:i4>
      </vt:variant>
      <vt:variant>
        <vt:i4>5</vt:i4>
      </vt:variant>
      <vt:variant>
        <vt:lpwstr>https://www.3gpp.org/ftp/TSG_RAN/WG1_RL1/TSGR1_104-e/Docs/R1-2102125.zip</vt:lpwstr>
      </vt:variant>
      <vt:variant>
        <vt:lpwstr/>
      </vt:variant>
      <vt:variant>
        <vt:i4>1179748</vt:i4>
      </vt:variant>
      <vt:variant>
        <vt:i4>87</vt:i4>
      </vt:variant>
      <vt:variant>
        <vt:i4>0</vt:i4>
      </vt:variant>
      <vt:variant>
        <vt:i4>5</vt:i4>
      </vt:variant>
      <vt:variant>
        <vt:lpwstr>https://www.3gpp.org/ftp/TSG_RAN/WG2_RL2/TSGR2_112-e/Docs/R2-2009965.zip</vt:lpwstr>
      </vt:variant>
      <vt:variant>
        <vt:lpwstr/>
      </vt:variant>
      <vt:variant>
        <vt:i4>7077982</vt:i4>
      </vt:variant>
      <vt:variant>
        <vt:i4>84</vt:i4>
      </vt:variant>
      <vt:variant>
        <vt:i4>0</vt:i4>
      </vt:variant>
      <vt:variant>
        <vt:i4>5</vt:i4>
      </vt:variant>
      <vt:variant>
        <vt:lpwstr>https://www.3gpp.org/ftp/TSG_RAN/TSG_RAN/TSGR_92e/Docs/RP-211347.zip</vt:lpwstr>
      </vt:variant>
      <vt:variant>
        <vt:lpwstr/>
      </vt:variant>
      <vt:variant>
        <vt:i4>6815832</vt:i4>
      </vt:variant>
      <vt:variant>
        <vt:i4>81</vt:i4>
      </vt:variant>
      <vt:variant>
        <vt:i4>0</vt:i4>
      </vt:variant>
      <vt:variant>
        <vt:i4>5</vt:i4>
      </vt:variant>
      <vt:variant>
        <vt:lpwstr>https://www.3gpp.org/ftp/tsg_ran/TSG_RAN/TSGR_91e/Docs/RP-210330.zip</vt:lpwstr>
      </vt:variant>
      <vt:variant>
        <vt:lpwstr/>
      </vt:variant>
      <vt:variant>
        <vt:i4>7274585</vt:i4>
      </vt:variant>
      <vt:variant>
        <vt:i4>78</vt:i4>
      </vt:variant>
      <vt:variant>
        <vt:i4>0</vt:i4>
      </vt:variant>
      <vt:variant>
        <vt:i4>5</vt:i4>
      </vt:variant>
      <vt:variant>
        <vt:lpwstr>https://www.3gpp.org/ftp/TSG_RAN/TSG_RAN/TSGR_90e/Docs/RP-202501.zip</vt:lpwstr>
      </vt:variant>
      <vt:variant>
        <vt:lpwstr/>
      </vt:variant>
      <vt:variant>
        <vt:i4>1245233</vt:i4>
      </vt:variant>
      <vt:variant>
        <vt:i4>74</vt:i4>
      </vt:variant>
      <vt:variant>
        <vt:i4>0</vt:i4>
      </vt:variant>
      <vt:variant>
        <vt:i4>5</vt:i4>
      </vt:variant>
      <vt:variant>
        <vt:lpwstr/>
      </vt:variant>
      <vt:variant>
        <vt:lpwstr>_Toc76116615</vt:lpwstr>
      </vt:variant>
      <vt:variant>
        <vt:i4>1179697</vt:i4>
      </vt:variant>
      <vt:variant>
        <vt:i4>71</vt:i4>
      </vt:variant>
      <vt:variant>
        <vt:i4>0</vt:i4>
      </vt:variant>
      <vt:variant>
        <vt:i4>5</vt:i4>
      </vt:variant>
      <vt:variant>
        <vt:lpwstr/>
      </vt:variant>
      <vt:variant>
        <vt:lpwstr>_Toc76116614</vt:lpwstr>
      </vt:variant>
      <vt:variant>
        <vt:i4>1376305</vt:i4>
      </vt:variant>
      <vt:variant>
        <vt:i4>68</vt:i4>
      </vt:variant>
      <vt:variant>
        <vt:i4>0</vt:i4>
      </vt:variant>
      <vt:variant>
        <vt:i4>5</vt:i4>
      </vt:variant>
      <vt:variant>
        <vt:lpwstr/>
      </vt:variant>
      <vt:variant>
        <vt:lpwstr>_Toc76116613</vt:lpwstr>
      </vt:variant>
      <vt:variant>
        <vt:i4>1310769</vt:i4>
      </vt:variant>
      <vt:variant>
        <vt:i4>65</vt:i4>
      </vt:variant>
      <vt:variant>
        <vt:i4>0</vt:i4>
      </vt:variant>
      <vt:variant>
        <vt:i4>5</vt:i4>
      </vt:variant>
      <vt:variant>
        <vt:lpwstr/>
      </vt:variant>
      <vt:variant>
        <vt:lpwstr>_Toc76116612</vt:lpwstr>
      </vt:variant>
      <vt:variant>
        <vt:i4>1507377</vt:i4>
      </vt:variant>
      <vt:variant>
        <vt:i4>62</vt:i4>
      </vt:variant>
      <vt:variant>
        <vt:i4>0</vt:i4>
      </vt:variant>
      <vt:variant>
        <vt:i4>5</vt:i4>
      </vt:variant>
      <vt:variant>
        <vt:lpwstr/>
      </vt:variant>
      <vt:variant>
        <vt:lpwstr>_Toc76116611</vt:lpwstr>
      </vt:variant>
      <vt:variant>
        <vt:i4>1441841</vt:i4>
      </vt:variant>
      <vt:variant>
        <vt:i4>59</vt:i4>
      </vt:variant>
      <vt:variant>
        <vt:i4>0</vt:i4>
      </vt:variant>
      <vt:variant>
        <vt:i4>5</vt:i4>
      </vt:variant>
      <vt:variant>
        <vt:lpwstr/>
      </vt:variant>
      <vt:variant>
        <vt:lpwstr>_Toc76116610</vt:lpwstr>
      </vt:variant>
      <vt:variant>
        <vt:i4>2031664</vt:i4>
      </vt:variant>
      <vt:variant>
        <vt:i4>56</vt:i4>
      </vt:variant>
      <vt:variant>
        <vt:i4>0</vt:i4>
      </vt:variant>
      <vt:variant>
        <vt:i4>5</vt:i4>
      </vt:variant>
      <vt:variant>
        <vt:lpwstr/>
      </vt:variant>
      <vt:variant>
        <vt:lpwstr>_Toc76116609</vt:lpwstr>
      </vt:variant>
      <vt:variant>
        <vt:i4>1966128</vt:i4>
      </vt:variant>
      <vt:variant>
        <vt:i4>53</vt:i4>
      </vt:variant>
      <vt:variant>
        <vt:i4>0</vt:i4>
      </vt:variant>
      <vt:variant>
        <vt:i4>5</vt:i4>
      </vt:variant>
      <vt:variant>
        <vt:lpwstr/>
      </vt:variant>
      <vt:variant>
        <vt:lpwstr>_Toc76116608</vt:lpwstr>
      </vt:variant>
      <vt:variant>
        <vt:i4>1114160</vt:i4>
      </vt:variant>
      <vt:variant>
        <vt:i4>50</vt:i4>
      </vt:variant>
      <vt:variant>
        <vt:i4>0</vt:i4>
      </vt:variant>
      <vt:variant>
        <vt:i4>5</vt:i4>
      </vt:variant>
      <vt:variant>
        <vt:lpwstr/>
      </vt:variant>
      <vt:variant>
        <vt:lpwstr>_Toc76116607</vt:lpwstr>
      </vt:variant>
      <vt:variant>
        <vt:i4>1048624</vt:i4>
      </vt:variant>
      <vt:variant>
        <vt:i4>47</vt:i4>
      </vt:variant>
      <vt:variant>
        <vt:i4>0</vt:i4>
      </vt:variant>
      <vt:variant>
        <vt:i4>5</vt:i4>
      </vt:variant>
      <vt:variant>
        <vt:lpwstr/>
      </vt:variant>
      <vt:variant>
        <vt:lpwstr>_Toc76116606</vt:lpwstr>
      </vt:variant>
      <vt:variant>
        <vt:i4>1245232</vt:i4>
      </vt:variant>
      <vt:variant>
        <vt:i4>44</vt:i4>
      </vt:variant>
      <vt:variant>
        <vt:i4>0</vt:i4>
      </vt:variant>
      <vt:variant>
        <vt:i4>5</vt:i4>
      </vt:variant>
      <vt:variant>
        <vt:lpwstr/>
      </vt:variant>
      <vt:variant>
        <vt:lpwstr>_Toc76116605</vt:lpwstr>
      </vt:variant>
      <vt:variant>
        <vt:i4>1179696</vt:i4>
      </vt:variant>
      <vt:variant>
        <vt:i4>38</vt:i4>
      </vt:variant>
      <vt:variant>
        <vt:i4>0</vt:i4>
      </vt:variant>
      <vt:variant>
        <vt:i4>5</vt:i4>
      </vt:variant>
      <vt:variant>
        <vt:lpwstr/>
      </vt:variant>
      <vt:variant>
        <vt:lpwstr>_Toc76116604</vt:lpwstr>
      </vt:variant>
      <vt:variant>
        <vt:i4>1376304</vt:i4>
      </vt:variant>
      <vt:variant>
        <vt:i4>35</vt:i4>
      </vt:variant>
      <vt:variant>
        <vt:i4>0</vt:i4>
      </vt:variant>
      <vt:variant>
        <vt:i4>5</vt:i4>
      </vt:variant>
      <vt:variant>
        <vt:lpwstr/>
      </vt:variant>
      <vt:variant>
        <vt:lpwstr>_Toc76116603</vt:lpwstr>
      </vt:variant>
      <vt:variant>
        <vt:i4>1310768</vt:i4>
      </vt:variant>
      <vt:variant>
        <vt:i4>32</vt:i4>
      </vt:variant>
      <vt:variant>
        <vt:i4>0</vt:i4>
      </vt:variant>
      <vt:variant>
        <vt:i4>5</vt:i4>
      </vt:variant>
      <vt:variant>
        <vt:lpwstr/>
      </vt:variant>
      <vt:variant>
        <vt:lpwstr>_Toc76116602</vt:lpwstr>
      </vt:variant>
      <vt:variant>
        <vt:i4>1507376</vt:i4>
      </vt:variant>
      <vt:variant>
        <vt:i4>29</vt:i4>
      </vt:variant>
      <vt:variant>
        <vt:i4>0</vt:i4>
      </vt:variant>
      <vt:variant>
        <vt:i4>5</vt:i4>
      </vt:variant>
      <vt:variant>
        <vt:lpwstr/>
      </vt:variant>
      <vt:variant>
        <vt:lpwstr>_Toc76116601</vt:lpwstr>
      </vt:variant>
      <vt:variant>
        <vt:i4>1441840</vt:i4>
      </vt:variant>
      <vt:variant>
        <vt:i4>26</vt:i4>
      </vt:variant>
      <vt:variant>
        <vt:i4>0</vt:i4>
      </vt:variant>
      <vt:variant>
        <vt:i4>5</vt:i4>
      </vt:variant>
      <vt:variant>
        <vt:lpwstr/>
      </vt:variant>
      <vt:variant>
        <vt:lpwstr>_Toc76116600</vt:lpwstr>
      </vt:variant>
      <vt:variant>
        <vt:i4>1835065</vt:i4>
      </vt:variant>
      <vt:variant>
        <vt:i4>23</vt:i4>
      </vt:variant>
      <vt:variant>
        <vt:i4>0</vt:i4>
      </vt:variant>
      <vt:variant>
        <vt:i4>5</vt:i4>
      </vt:variant>
      <vt:variant>
        <vt:lpwstr/>
      </vt:variant>
      <vt:variant>
        <vt:lpwstr>_Toc76116599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98</cp:revision>
  <cp:lastPrinted>2008-01-31T16:09:00Z</cp:lastPrinted>
  <dcterms:created xsi:type="dcterms:W3CDTF">2021-06-09T17:28:00Z</dcterms:created>
  <dcterms:modified xsi:type="dcterms:W3CDTF">2021-08-05T15:34:00Z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